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5607A" w14:textId="37CAFAD2" w:rsidR="00E57769" w:rsidRPr="00AC0A9D" w:rsidRDefault="008767C0" w:rsidP="008767C0">
      <w:pPr>
        <w:spacing w:before="120" w:after="120" w:line="360" w:lineRule="auto"/>
        <w:rPr>
          <w:rFonts w:asciiTheme="majorHAnsi" w:hAnsiTheme="majorHAnsi" w:cstheme="majorHAnsi"/>
        </w:rPr>
      </w:pPr>
      <w:r w:rsidRPr="00AC0A9D">
        <w:rPr>
          <w:rFonts w:asciiTheme="majorHAnsi" w:hAnsiTheme="majorHAnsi" w:cstheme="majorHAnsi"/>
          <w:noProof/>
          <w:lang w:eastAsia="pt-BR"/>
        </w:rPr>
        <w:drawing>
          <wp:anchor distT="0" distB="0" distL="114300" distR="114300" simplePos="0" relativeHeight="251696128" behindDoc="1" locked="0" layoutInCell="1" allowOverlap="1" wp14:anchorId="0A55D28D" wp14:editId="702EFE6A">
            <wp:simplePos x="0" y="0"/>
            <wp:positionH relativeFrom="margin">
              <wp:align>center</wp:align>
            </wp:positionH>
            <wp:positionV relativeFrom="paragraph">
              <wp:posOffset>-846313</wp:posOffset>
            </wp:positionV>
            <wp:extent cx="7535646" cy="10622280"/>
            <wp:effectExtent l="0" t="0" r="8255" b="762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5646" cy="1062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7053F" w14:textId="77777777" w:rsidR="00FA50DF" w:rsidRPr="00AC0A9D" w:rsidRDefault="00FA50DF" w:rsidP="008767C0">
      <w:pPr>
        <w:spacing w:before="120" w:after="120" w:line="360" w:lineRule="auto"/>
        <w:rPr>
          <w:rFonts w:asciiTheme="majorHAnsi" w:hAnsiTheme="majorHAnsi" w:cstheme="majorHAnsi"/>
        </w:rPr>
      </w:pPr>
    </w:p>
    <w:p w14:paraId="4B30CC46" w14:textId="77777777" w:rsidR="00E57769" w:rsidRPr="00AC0A9D" w:rsidRDefault="00E57769" w:rsidP="008767C0">
      <w:pPr>
        <w:spacing w:before="120" w:after="120" w:line="360" w:lineRule="auto"/>
        <w:rPr>
          <w:rFonts w:asciiTheme="majorHAnsi" w:hAnsiTheme="majorHAnsi" w:cstheme="majorHAnsi"/>
        </w:rPr>
      </w:pPr>
    </w:p>
    <w:p w14:paraId="2A198195" w14:textId="77777777" w:rsidR="00E57769" w:rsidRPr="00AC0A9D" w:rsidRDefault="00E57769" w:rsidP="008767C0">
      <w:pPr>
        <w:spacing w:before="120" w:after="120" w:line="360" w:lineRule="auto"/>
        <w:rPr>
          <w:rFonts w:asciiTheme="majorHAnsi" w:hAnsiTheme="majorHAnsi" w:cstheme="majorHAnsi"/>
        </w:rPr>
      </w:pPr>
    </w:p>
    <w:p w14:paraId="2F8CF70A" w14:textId="77777777" w:rsidR="00E57769" w:rsidRPr="00AC0A9D" w:rsidRDefault="00E57769" w:rsidP="008767C0">
      <w:pPr>
        <w:spacing w:before="120" w:after="120" w:line="360" w:lineRule="auto"/>
        <w:rPr>
          <w:rFonts w:asciiTheme="majorHAnsi" w:hAnsiTheme="majorHAnsi" w:cstheme="majorHAnsi"/>
        </w:rPr>
      </w:pPr>
    </w:p>
    <w:p w14:paraId="4DEE002A" w14:textId="77777777" w:rsidR="00E57769" w:rsidRPr="00AC0A9D" w:rsidRDefault="00E57769" w:rsidP="008767C0">
      <w:pPr>
        <w:spacing w:before="120" w:after="120" w:line="360" w:lineRule="auto"/>
        <w:rPr>
          <w:rFonts w:asciiTheme="majorHAnsi" w:hAnsiTheme="majorHAnsi" w:cstheme="majorHAnsi"/>
        </w:rPr>
      </w:pPr>
    </w:p>
    <w:p w14:paraId="3E893AAD" w14:textId="77777777" w:rsidR="00E57769" w:rsidRPr="00AC0A9D" w:rsidRDefault="00E57769" w:rsidP="008767C0">
      <w:pPr>
        <w:spacing w:before="120" w:after="120" w:line="360" w:lineRule="auto"/>
        <w:rPr>
          <w:rFonts w:asciiTheme="majorHAnsi" w:hAnsiTheme="majorHAnsi" w:cstheme="majorHAnsi"/>
        </w:rPr>
      </w:pPr>
    </w:p>
    <w:p w14:paraId="319CDC82" w14:textId="77777777" w:rsidR="00E57769" w:rsidRPr="00AC0A9D" w:rsidRDefault="00E57769" w:rsidP="008767C0">
      <w:pPr>
        <w:spacing w:before="120" w:after="120" w:line="360" w:lineRule="auto"/>
        <w:rPr>
          <w:rFonts w:asciiTheme="majorHAnsi" w:hAnsiTheme="majorHAnsi" w:cstheme="majorHAnsi"/>
        </w:rPr>
      </w:pPr>
    </w:p>
    <w:p w14:paraId="69C44303" w14:textId="77777777" w:rsidR="00E57769" w:rsidRPr="00AC0A9D" w:rsidRDefault="00E57769" w:rsidP="008767C0">
      <w:pPr>
        <w:spacing w:before="120" w:after="120" w:line="360" w:lineRule="auto"/>
        <w:rPr>
          <w:rFonts w:asciiTheme="majorHAnsi" w:hAnsiTheme="majorHAnsi" w:cstheme="majorHAnsi"/>
        </w:rPr>
      </w:pPr>
    </w:p>
    <w:p w14:paraId="294BB77D" w14:textId="77777777" w:rsidR="00E57769" w:rsidRPr="00AC0A9D" w:rsidRDefault="00E57769" w:rsidP="008767C0">
      <w:pPr>
        <w:spacing w:before="120" w:after="120" w:line="360" w:lineRule="auto"/>
        <w:rPr>
          <w:rFonts w:asciiTheme="majorHAnsi" w:hAnsiTheme="majorHAnsi" w:cstheme="majorHAnsi"/>
        </w:rPr>
      </w:pPr>
    </w:p>
    <w:p w14:paraId="58CAF161" w14:textId="77777777" w:rsidR="00E57769" w:rsidRPr="00AC0A9D" w:rsidRDefault="00E57769" w:rsidP="008767C0">
      <w:pPr>
        <w:spacing w:before="120" w:after="120" w:line="360" w:lineRule="auto"/>
        <w:rPr>
          <w:rFonts w:asciiTheme="majorHAnsi" w:hAnsiTheme="majorHAnsi" w:cstheme="majorHAnsi"/>
        </w:rPr>
      </w:pPr>
    </w:p>
    <w:p w14:paraId="7C9AEE33" w14:textId="77777777" w:rsidR="00E57769" w:rsidRPr="00AC0A9D" w:rsidRDefault="00E57769" w:rsidP="008767C0">
      <w:pPr>
        <w:spacing w:before="120" w:after="120" w:line="360" w:lineRule="auto"/>
        <w:rPr>
          <w:rFonts w:asciiTheme="majorHAnsi" w:hAnsiTheme="majorHAnsi" w:cstheme="majorHAnsi"/>
        </w:rPr>
      </w:pPr>
    </w:p>
    <w:p w14:paraId="5EB1242B" w14:textId="77777777" w:rsidR="00E57769" w:rsidRPr="00AC0A9D" w:rsidRDefault="00E57769" w:rsidP="008767C0">
      <w:pPr>
        <w:spacing w:before="120" w:after="120" w:line="360" w:lineRule="auto"/>
        <w:rPr>
          <w:rFonts w:asciiTheme="majorHAnsi" w:hAnsiTheme="majorHAnsi" w:cstheme="majorHAnsi"/>
        </w:rPr>
      </w:pPr>
    </w:p>
    <w:p w14:paraId="667BBCB1" w14:textId="77777777" w:rsidR="00E57769" w:rsidRPr="00AC0A9D" w:rsidRDefault="00E57769" w:rsidP="008767C0">
      <w:pPr>
        <w:spacing w:before="120" w:after="120" w:line="360" w:lineRule="auto"/>
        <w:rPr>
          <w:rFonts w:asciiTheme="majorHAnsi" w:hAnsiTheme="majorHAnsi" w:cstheme="majorHAnsi"/>
        </w:rPr>
      </w:pPr>
    </w:p>
    <w:p w14:paraId="3402AF10" w14:textId="77777777" w:rsidR="00E57769" w:rsidRPr="00AC0A9D" w:rsidRDefault="00E57769" w:rsidP="008767C0">
      <w:pPr>
        <w:spacing w:before="120" w:after="120" w:line="360" w:lineRule="auto"/>
        <w:rPr>
          <w:rFonts w:asciiTheme="majorHAnsi" w:hAnsiTheme="majorHAnsi" w:cstheme="majorHAnsi"/>
        </w:rPr>
      </w:pPr>
    </w:p>
    <w:p w14:paraId="6602CDB4" w14:textId="77777777" w:rsidR="00E57769" w:rsidRPr="00AC0A9D" w:rsidRDefault="00E57769" w:rsidP="008767C0">
      <w:pPr>
        <w:spacing w:before="120" w:after="120" w:line="360" w:lineRule="auto"/>
        <w:rPr>
          <w:rFonts w:asciiTheme="majorHAnsi" w:hAnsiTheme="majorHAnsi" w:cstheme="majorHAnsi"/>
        </w:rPr>
      </w:pPr>
    </w:p>
    <w:p w14:paraId="149A6AE1" w14:textId="77777777" w:rsidR="00E57769" w:rsidRPr="00AC0A9D" w:rsidRDefault="00E57769" w:rsidP="008767C0">
      <w:pPr>
        <w:spacing w:before="120" w:after="120" w:line="360" w:lineRule="auto"/>
        <w:rPr>
          <w:rFonts w:asciiTheme="majorHAnsi" w:hAnsiTheme="majorHAnsi" w:cstheme="majorHAnsi"/>
        </w:rPr>
      </w:pPr>
    </w:p>
    <w:p w14:paraId="0302F037" w14:textId="77777777" w:rsidR="00E57769" w:rsidRPr="00AC0A9D" w:rsidRDefault="00E57769" w:rsidP="008767C0">
      <w:pPr>
        <w:spacing w:before="120" w:after="120" w:line="360" w:lineRule="auto"/>
        <w:rPr>
          <w:rFonts w:asciiTheme="majorHAnsi" w:hAnsiTheme="majorHAnsi" w:cstheme="majorHAnsi"/>
        </w:rPr>
      </w:pPr>
    </w:p>
    <w:p w14:paraId="22C6237B" w14:textId="77777777" w:rsidR="00E57769" w:rsidRPr="00AC0A9D" w:rsidRDefault="00E57769" w:rsidP="008767C0">
      <w:pPr>
        <w:spacing w:before="120" w:after="120" w:line="360" w:lineRule="auto"/>
        <w:rPr>
          <w:rFonts w:asciiTheme="majorHAnsi" w:hAnsiTheme="majorHAnsi" w:cstheme="majorHAnsi"/>
        </w:rPr>
      </w:pPr>
    </w:p>
    <w:p w14:paraId="264BF3B0" w14:textId="77777777" w:rsidR="00E57769" w:rsidRPr="00AC0A9D" w:rsidRDefault="00E57769" w:rsidP="008767C0">
      <w:pPr>
        <w:spacing w:before="120" w:after="120" w:line="360" w:lineRule="auto"/>
        <w:rPr>
          <w:rFonts w:asciiTheme="majorHAnsi" w:hAnsiTheme="majorHAnsi" w:cstheme="majorHAnsi"/>
        </w:rPr>
      </w:pPr>
    </w:p>
    <w:p w14:paraId="4AD074CA" w14:textId="77777777" w:rsidR="00E57769" w:rsidRPr="00AC0A9D" w:rsidRDefault="00E57769" w:rsidP="008767C0">
      <w:pPr>
        <w:spacing w:before="120" w:after="120" w:line="360" w:lineRule="auto"/>
        <w:rPr>
          <w:rFonts w:asciiTheme="majorHAnsi" w:hAnsiTheme="majorHAnsi" w:cstheme="majorHAnsi"/>
        </w:rPr>
      </w:pPr>
    </w:p>
    <w:p w14:paraId="3A1D38A8" w14:textId="77777777" w:rsidR="00E57769" w:rsidRPr="00AC0A9D" w:rsidRDefault="00E57769" w:rsidP="008767C0">
      <w:pPr>
        <w:spacing w:before="120" w:after="120" w:line="360" w:lineRule="auto"/>
        <w:rPr>
          <w:rFonts w:asciiTheme="majorHAnsi" w:hAnsiTheme="majorHAnsi" w:cstheme="majorHAnsi"/>
        </w:rPr>
      </w:pPr>
    </w:p>
    <w:p w14:paraId="0E13659E" w14:textId="77777777" w:rsidR="00E57769" w:rsidRPr="00AC0A9D" w:rsidRDefault="00E57769" w:rsidP="008767C0">
      <w:pPr>
        <w:spacing w:before="120" w:after="120" w:line="360" w:lineRule="auto"/>
        <w:rPr>
          <w:rFonts w:asciiTheme="majorHAnsi" w:hAnsiTheme="majorHAnsi" w:cstheme="majorHAnsi"/>
        </w:rPr>
      </w:pPr>
    </w:p>
    <w:p w14:paraId="192E170C" w14:textId="77777777" w:rsidR="00E57769" w:rsidRPr="00AC0A9D" w:rsidRDefault="00E57769" w:rsidP="008767C0">
      <w:pPr>
        <w:spacing w:before="120" w:after="120" w:line="360" w:lineRule="auto"/>
        <w:rPr>
          <w:rFonts w:asciiTheme="majorHAnsi" w:hAnsiTheme="majorHAnsi" w:cstheme="majorHAnsi"/>
        </w:rPr>
      </w:pPr>
    </w:p>
    <w:p w14:paraId="1836E720" w14:textId="77777777" w:rsidR="00E57769" w:rsidRPr="00AC0A9D" w:rsidRDefault="00E57769" w:rsidP="008767C0">
      <w:pPr>
        <w:spacing w:before="120" w:after="120" w:line="360" w:lineRule="auto"/>
        <w:rPr>
          <w:rFonts w:asciiTheme="majorHAnsi" w:hAnsiTheme="majorHAnsi" w:cstheme="majorHAnsi"/>
        </w:rPr>
      </w:pPr>
    </w:p>
    <w:p w14:paraId="0D4D8035" w14:textId="77777777" w:rsidR="00E57769" w:rsidRPr="00AC0A9D" w:rsidRDefault="00E57769" w:rsidP="008767C0">
      <w:pPr>
        <w:spacing w:before="120" w:after="120" w:line="360" w:lineRule="auto"/>
        <w:rPr>
          <w:rFonts w:asciiTheme="majorHAnsi" w:hAnsiTheme="majorHAnsi" w:cstheme="majorHAnsi"/>
        </w:rPr>
      </w:pPr>
    </w:p>
    <w:p w14:paraId="713C32F7" w14:textId="77777777" w:rsidR="00E57769" w:rsidRPr="00AC0A9D" w:rsidRDefault="00E57769" w:rsidP="008767C0">
      <w:pPr>
        <w:spacing w:before="120" w:after="120" w:line="360" w:lineRule="auto"/>
        <w:rPr>
          <w:rFonts w:asciiTheme="majorHAnsi" w:hAnsiTheme="majorHAnsi" w:cstheme="majorHAnsi"/>
        </w:rPr>
      </w:pPr>
    </w:p>
    <w:p w14:paraId="38CFB60E" w14:textId="77777777" w:rsidR="00E57769" w:rsidRDefault="00E57769" w:rsidP="008767C0">
      <w:pPr>
        <w:spacing w:before="120" w:after="120" w:line="360" w:lineRule="auto"/>
        <w:rPr>
          <w:rFonts w:asciiTheme="majorHAnsi" w:hAnsiTheme="majorHAnsi" w:cstheme="majorHAnsi"/>
        </w:rPr>
      </w:pPr>
    </w:p>
    <w:p w14:paraId="42CC07A3" w14:textId="77777777" w:rsidR="0004698C" w:rsidRDefault="0004698C" w:rsidP="008767C0">
      <w:pPr>
        <w:spacing w:before="120" w:after="120" w:line="360" w:lineRule="auto"/>
        <w:rPr>
          <w:rFonts w:asciiTheme="majorHAnsi" w:hAnsiTheme="majorHAnsi" w:cstheme="majorHAnsi"/>
        </w:rPr>
      </w:pPr>
    </w:p>
    <w:p w14:paraId="284DDEF1" w14:textId="77777777" w:rsidR="0004698C" w:rsidRDefault="0004698C" w:rsidP="008767C0">
      <w:pPr>
        <w:spacing w:before="120" w:after="120" w:line="360" w:lineRule="auto"/>
        <w:rPr>
          <w:rFonts w:asciiTheme="majorHAnsi" w:hAnsiTheme="majorHAnsi" w:cstheme="majorHAnsi"/>
        </w:rPr>
      </w:pPr>
    </w:p>
    <w:p w14:paraId="0B9DCD4C" w14:textId="77777777" w:rsidR="00A55AB6" w:rsidRPr="00AC0A9D" w:rsidRDefault="00A55AB6" w:rsidP="008767C0">
      <w:pPr>
        <w:spacing w:before="120" w:after="120" w:line="360" w:lineRule="auto"/>
        <w:rPr>
          <w:rFonts w:asciiTheme="majorHAnsi" w:hAnsiTheme="majorHAnsi" w:cstheme="majorHAnsi"/>
        </w:rPr>
      </w:pPr>
    </w:p>
    <w:p w14:paraId="2FB71CA6" w14:textId="77777777" w:rsidR="008767C0" w:rsidRPr="00AC0A9D" w:rsidRDefault="008767C0" w:rsidP="008767C0">
      <w:pPr>
        <w:spacing w:before="120" w:after="120" w:line="360" w:lineRule="auto"/>
        <w:rPr>
          <w:rFonts w:asciiTheme="majorHAnsi" w:hAnsiTheme="majorHAnsi" w:cstheme="majorHAnsi"/>
        </w:rPr>
      </w:pPr>
    </w:p>
    <w:p w14:paraId="1ED2EB3E" w14:textId="77777777" w:rsidR="008767C0" w:rsidRPr="00AC0A9D" w:rsidRDefault="008767C0" w:rsidP="008767C0">
      <w:pPr>
        <w:spacing w:before="120" w:after="120" w:line="360" w:lineRule="auto"/>
        <w:rPr>
          <w:rFonts w:asciiTheme="majorHAnsi" w:hAnsiTheme="majorHAnsi" w:cstheme="majorHAnsi"/>
        </w:rPr>
      </w:pPr>
    </w:p>
    <w:p w14:paraId="11930334" w14:textId="77777777" w:rsidR="00E57769" w:rsidRPr="00AC0A9D" w:rsidRDefault="00E57769" w:rsidP="008767C0">
      <w:pPr>
        <w:spacing w:before="120" w:after="120" w:line="360" w:lineRule="auto"/>
        <w:rPr>
          <w:rFonts w:asciiTheme="majorHAnsi" w:hAnsiTheme="majorHAnsi" w:cstheme="majorHAnsi"/>
        </w:rPr>
      </w:pPr>
    </w:p>
    <w:sdt>
      <w:sdtPr>
        <w:rPr>
          <w:rFonts w:asciiTheme="majorHAnsi" w:eastAsiaTheme="minorHAnsi" w:hAnsiTheme="majorHAnsi" w:cstheme="majorHAnsi"/>
          <w:b w:val="0"/>
          <w:color w:val="auto"/>
          <w:sz w:val="22"/>
          <w:szCs w:val="22"/>
          <w:lang w:eastAsia="en-US"/>
        </w:rPr>
        <w:id w:val="1068466605"/>
        <w:docPartObj>
          <w:docPartGallery w:val="Table of Contents"/>
          <w:docPartUnique/>
        </w:docPartObj>
      </w:sdtPr>
      <w:sdtEndPr>
        <w:rPr>
          <w:bCs/>
        </w:rPr>
      </w:sdtEndPr>
      <w:sdtContent>
        <w:p w14:paraId="7B987B94" w14:textId="6890266E" w:rsidR="00E57769" w:rsidRPr="009956BD" w:rsidRDefault="00E57769" w:rsidP="008767C0">
          <w:pPr>
            <w:pStyle w:val="CabealhodoSumrio"/>
            <w:spacing w:before="120" w:after="120"/>
            <w:jc w:val="center"/>
            <w:rPr>
              <w:rFonts w:asciiTheme="majorHAnsi" w:hAnsiTheme="majorHAnsi" w:cstheme="majorHAnsi"/>
              <w:b w:val="0"/>
              <w:sz w:val="22"/>
              <w:szCs w:val="22"/>
            </w:rPr>
          </w:pPr>
          <w:r w:rsidRPr="0004698C">
            <w:rPr>
              <w:rFonts w:asciiTheme="majorHAnsi" w:hAnsiTheme="majorHAnsi" w:cstheme="majorHAnsi"/>
            </w:rPr>
            <w:t>Sumário</w:t>
          </w:r>
        </w:p>
        <w:p w14:paraId="048494E3" w14:textId="77777777" w:rsidR="00E57769" w:rsidRPr="0004698C" w:rsidRDefault="00E57769" w:rsidP="008767C0">
          <w:pPr>
            <w:spacing w:before="120" w:after="120" w:line="360" w:lineRule="auto"/>
            <w:rPr>
              <w:rFonts w:asciiTheme="majorHAnsi" w:hAnsiTheme="majorHAnsi" w:cstheme="majorHAnsi"/>
              <w:lang w:eastAsia="pt-BR"/>
            </w:rPr>
          </w:pPr>
        </w:p>
        <w:p w14:paraId="158A6031" w14:textId="77777777" w:rsidR="0004698C" w:rsidRDefault="00E57769">
          <w:pPr>
            <w:pStyle w:val="Sumrio1"/>
            <w:tabs>
              <w:tab w:val="right" w:leader="dot" w:pos="8494"/>
            </w:tabs>
            <w:rPr>
              <w:rFonts w:eastAsiaTheme="minorEastAsia"/>
              <w:noProof/>
              <w:lang w:eastAsia="pt-BR"/>
            </w:rPr>
          </w:pPr>
          <w:r w:rsidRPr="0004698C">
            <w:rPr>
              <w:rFonts w:asciiTheme="majorHAnsi" w:hAnsiTheme="majorHAnsi" w:cstheme="majorHAnsi"/>
              <w:b/>
              <w:bCs/>
            </w:rPr>
            <w:fldChar w:fldCharType="begin"/>
          </w:r>
          <w:r w:rsidRPr="0004698C">
            <w:rPr>
              <w:rFonts w:asciiTheme="majorHAnsi" w:hAnsiTheme="majorHAnsi" w:cstheme="majorHAnsi"/>
              <w:b/>
              <w:bCs/>
            </w:rPr>
            <w:instrText xml:space="preserve"> TOC \o "1-3" \h \z \u </w:instrText>
          </w:r>
          <w:r w:rsidRPr="0004698C">
            <w:rPr>
              <w:rFonts w:asciiTheme="majorHAnsi" w:hAnsiTheme="majorHAnsi" w:cstheme="majorHAnsi"/>
              <w:b/>
              <w:bCs/>
            </w:rPr>
            <w:fldChar w:fldCharType="separate"/>
          </w:r>
          <w:hyperlink w:anchor="_Toc72261117" w:history="1">
            <w:r w:rsidR="0004698C" w:rsidRPr="00127731">
              <w:rPr>
                <w:rStyle w:val="Hyperlink"/>
                <w:rFonts w:asciiTheme="majorHAnsi" w:hAnsiTheme="majorHAnsi" w:cstheme="majorHAnsi"/>
                <w:noProof/>
              </w:rPr>
              <w:t>Apresentação</w:t>
            </w:r>
            <w:r w:rsidR="0004698C">
              <w:rPr>
                <w:noProof/>
                <w:webHidden/>
              </w:rPr>
              <w:tab/>
            </w:r>
            <w:r w:rsidR="0004698C">
              <w:rPr>
                <w:noProof/>
                <w:webHidden/>
              </w:rPr>
              <w:fldChar w:fldCharType="begin"/>
            </w:r>
            <w:r w:rsidR="0004698C">
              <w:rPr>
                <w:noProof/>
                <w:webHidden/>
              </w:rPr>
              <w:instrText xml:space="preserve"> PAGEREF _Toc72261117 \h </w:instrText>
            </w:r>
            <w:r w:rsidR="0004698C">
              <w:rPr>
                <w:noProof/>
                <w:webHidden/>
              </w:rPr>
            </w:r>
            <w:r w:rsidR="0004698C">
              <w:rPr>
                <w:noProof/>
                <w:webHidden/>
              </w:rPr>
              <w:fldChar w:fldCharType="separate"/>
            </w:r>
            <w:r w:rsidR="002761C5">
              <w:rPr>
                <w:noProof/>
                <w:webHidden/>
              </w:rPr>
              <w:t>3</w:t>
            </w:r>
            <w:r w:rsidR="0004698C">
              <w:rPr>
                <w:noProof/>
                <w:webHidden/>
              </w:rPr>
              <w:fldChar w:fldCharType="end"/>
            </w:r>
          </w:hyperlink>
        </w:p>
        <w:p w14:paraId="7898F863" w14:textId="77777777" w:rsidR="0004698C" w:rsidRDefault="002761C5">
          <w:pPr>
            <w:pStyle w:val="Sumrio1"/>
            <w:tabs>
              <w:tab w:val="left" w:pos="440"/>
              <w:tab w:val="right" w:leader="dot" w:pos="8494"/>
            </w:tabs>
            <w:rPr>
              <w:rFonts w:eastAsiaTheme="minorEastAsia"/>
              <w:noProof/>
              <w:lang w:eastAsia="pt-BR"/>
            </w:rPr>
          </w:pPr>
          <w:hyperlink w:anchor="_Toc72261118" w:history="1">
            <w:r w:rsidR="0004698C" w:rsidRPr="00127731">
              <w:rPr>
                <w:rStyle w:val="Hyperlink"/>
                <w:rFonts w:asciiTheme="majorHAnsi" w:hAnsiTheme="majorHAnsi" w:cstheme="majorHAnsi"/>
                <w:noProof/>
                <w:spacing w:val="40"/>
                <w14:numSpacing w14:val="proportional"/>
              </w:rPr>
              <w:t>1.</w:t>
            </w:r>
            <w:r w:rsidR="0004698C">
              <w:rPr>
                <w:rFonts w:eastAsiaTheme="minorEastAsia"/>
                <w:noProof/>
                <w:lang w:eastAsia="pt-BR"/>
              </w:rPr>
              <w:tab/>
            </w:r>
            <w:r w:rsidR="0004698C" w:rsidRPr="00127731">
              <w:rPr>
                <w:rStyle w:val="Hyperlink"/>
                <w:rFonts w:asciiTheme="majorHAnsi" w:hAnsiTheme="majorHAnsi" w:cstheme="majorHAnsi"/>
                <w:noProof/>
              </w:rPr>
              <w:t>Estrutura Metrológica Mundial</w:t>
            </w:r>
            <w:r w:rsidR="0004698C">
              <w:rPr>
                <w:noProof/>
                <w:webHidden/>
              </w:rPr>
              <w:tab/>
            </w:r>
            <w:r w:rsidR="0004698C">
              <w:rPr>
                <w:noProof/>
                <w:webHidden/>
              </w:rPr>
              <w:fldChar w:fldCharType="begin"/>
            </w:r>
            <w:r w:rsidR="0004698C">
              <w:rPr>
                <w:noProof/>
                <w:webHidden/>
              </w:rPr>
              <w:instrText xml:space="preserve"> PAGEREF _Toc72261118 \h </w:instrText>
            </w:r>
            <w:r w:rsidR="0004698C">
              <w:rPr>
                <w:noProof/>
                <w:webHidden/>
              </w:rPr>
            </w:r>
            <w:r w:rsidR="0004698C">
              <w:rPr>
                <w:noProof/>
                <w:webHidden/>
              </w:rPr>
              <w:fldChar w:fldCharType="separate"/>
            </w:r>
            <w:r>
              <w:rPr>
                <w:noProof/>
                <w:webHidden/>
              </w:rPr>
              <w:t>4</w:t>
            </w:r>
            <w:r w:rsidR="0004698C">
              <w:rPr>
                <w:noProof/>
                <w:webHidden/>
              </w:rPr>
              <w:fldChar w:fldCharType="end"/>
            </w:r>
          </w:hyperlink>
        </w:p>
        <w:p w14:paraId="1F7DDDD6" w14:textId="77777777" w:rsidR="0004698C" w:rsidRDefault="002761C5">
          <w:pPr>
            <w:pStyle w:val="Sumrio2"/>
            <w:tabs>
              <w:tab w:val="left" w:pos="880"/>
              <w:tab w:val="right" w:leader="dot" w:pos="8494"/>
            </w:tabs>
            <w:rPr>
              <w:rFonts w:eastAsiaTheme="minorEastAsia"/>
              <w:noProof/>
              <w:lang w:eastAsia="pt-BR"/>
            </w:rPr>
          </w:pPr>
          <w:hyperlink w:anchor="_Toc72261119" w:history="1">
            <w:r w:rsidR="0004698C" w:rsidRPr="00127731">
              <w:rPr>
                <w:rStyle w:val="Hyperlink"/>
                <w:rFonts w:asciiTheme="majorHAnsi" w:hAnsiTheme="majorHAnsi" w:cstheme="majorHAnsi"/>
                <w:noProof/>
              </w:rPr>
              <w:t>1.1.</w:t>
            </w:r>
            <w:r w:rsidR="0004698C">
              <w:rPr>
                <w:rFonts w:eastAsiaTheme="minorEastAsia"/>
                <w:noProof/>
                <w:lang w:eastAsia="pt-BR"/>
              </w:rPr>
              <w:tab/>
            </w:r>
            <w:r w:rsidR="0004698C" w:rsidRPr="00127731">
              <w:rPr>
                <w:rStyle w:val="Hyperlink"/>
                <w:rFonts w:asciiTheme="majorHAnsi" w:hAnsiTheme="majorHAnsi" w:cstheme="majorHAnsi"/>
                <w:noProof/>
              </w:rPr>
              <w:t>Metrologia Científica e Industrial</w:t>
            </w:r>
            <w:r w:rsidR="0004698C">
              <w:rPr>
                <w:noProof/>
                <w:webHidden/>
              </w:rPr>
              <w:tab/>
            </w:r>
            <w:bookmarkStart w:id="0" w:name="_GoBack"/>
            <w:bookmarkEnd w:id="0"/>
            <w:r w:rsidR="0004698C">
              <w:rPr>
                <w:noProof/>
                <w:webHidden/>
              </w:rPr>
              <w:fldChar w:fldCharType="begin"/>
            </w:r>
            <w:r w:rsidR="0004698C">
              <w:rPr>
                <w:noProof/>
                <w:webHidden/>
              </w:rPr>
              <w:instrText xml:space="preserve"> PAGEREF _Toc72261119 \h </w:instrText>
            </w:r>
            <w:r w:rsidR="0004698C">
              <w:rPr>
                <w:noProof/>
                <w:webHidden/>
              </w:rPr>
            </w:r>
            <w:r w:rsidR="0004698C">
              <w:rPr>
                <w:noProof/>
                <w:webHidden/>
              </w:rPr>
              <w:fldChar w:fldCharType="separate"/>
            </w:r>
            <w:r>
              <w:rPr>
                <w:noProof/>
                <w:webHidden/>
              </w:rPr>
              <w:t>4</w:t>
            </w:r>
            <w:r w:rsidR="0004698C">
              <w:rPr>
                <w:noProof/>
                <w:webHidden/>
              </w:rPr>
              <w:fldChar w:fldCharType="end"/>
            </w:r>
          </w:hyperlink>
        </w:p>
        <w:p w14:paraId="3AB41590" w14:textId="77777777" w:rsidR="0004698C" w:rsidRDefault="002761C5">
          <w:pPr>
            <w:pStyle w:val="Sumrio2"/>
            <w:tabs>
              <w:tab w:val="left" w:pos="880"/>
              <w:tab w:val="right" w:leader="dot" w:pos="8494"/>
            </w:tabs>
            <w:rPr>
              <w:rFonts w:eastAsiaTheme="minorEastAsia"/>
              <w:noProof/>
              <w:lang w:eastAsia="pt-BR"/>
            </w:rPr>
          </w:pPr>
          <w:hyperlink w:anchor="_Toc72261120" w:history="1">
            <w:r w:rsidR="0004698C" w:rsidRPr="00127731">
              <w:rPr>
                <w:rStyle w:val="Hyperlink"/>
                <w:rFonts w:asciiTheme="majorHAnsi" w:hAnsiTheme="majorHAnsi" w:cstheme="majorHAnsi"/>
                <w:noProof/>
              </w:rPr>
              <w:t>1.2.</w:t>
            </w:r>
            <w:r w:rsidR="0004698C">
              <w:rPr>
                <w:rFonts w:eastAsiaTheme="minorEastAsia"/>
                <w:noProof/>
                <w:lang w:eastAsia="pt-BR"/>
              </w:rPr>
              <w:tab/>
            </w:r>
            <w:r w:rsidR="0004698C" w:rsidRPr="00127731">
              <w:rPr>
                <w:rStyle w:val="Hyperlink"/>
                <w:rFonts w:asciiTheme="majorHAnsi" w:hAnsiTheme="majorHAnsi" w:cstheme="majorHAnsi"/>
                <w:noProof/>
              </w:rPr>
              <w:t>Organização Internacional de Metrologia Legal – OIML</w:t>
            </w:r>
            <w:r w:rsidR="0004698C">
              <w:rPr>
                <w:noProof/>
                <w:webHidden/>
              </w:rPr>
              <w:tab/>
            </w:r>
            <w:r w:rsidR="0004698C">
              <w:rPr>
                <w:noProof/>
                <w:webHidden/>
              </w:rPr>
              <w:fldChar w:fldCharType="begin"/>
            </w:r>
            <w:r w:rsidR="0004698C">
              <w:rPr>
                <w:noProof/>
                <w:webHidden/>
              </w:rPr>
              <w:instrText xml:space="preserve"> PAGEREF _Toc72261120 \h </w:instrText>
            </w:r>
            <w:r w:rsidR="0004698C">
              <w:rPr>
                <w:noProof/>
                <w:webHidden/>
              </w:rPr>
            </w:r>
            <w:r w:rsidR="0004698C">
              <w:rPr>
                <w:noProof/>
                <w:webHidden/>
              </w:rPr>
              <w:fldChar w:fldCharType="separate"/>
            </w:r>
            <w:r>
              <w:rPr>
                <w:noProof/>
                <w:webHidden/>
              </w:rPr>
              <w:t>5</w:t>
            </w:r>
            <w:r w:rsidR="0004698C">
              <w:rPr>
                <w:noProof/>
                <w:webHidden/>
              </w:rPr>
              <w:fldChar w:fldCharType="end"/>
            </w:r>
          </w:hyperlink>
        </w:p>
        <w:p w14:paraId="29ABFF58" w14:textId="77777777" w:rsidR="0004698C" w:rsidRDefault="002761C5">
          <w:pPr>
            <w:pStyle w:val="Sumrio1"/>
            <w:tabs>
              <w:tab w:val="left" w:pos="660"/>
              <w:tab w:val="right" w:leader="dot" w:pos="8494"/>
            </w:tabs>
            <w:rPr>
              <w:rFonts w:eastAsiaTheme="minorEastAsia"/>
              <w:noProof/>
              <w:lang w:eastAsia="pt-BR"/>
            </w:rPr>
          </w:pPr>
          <w:hyperlink w:anchor="_Toc72261121" w:history="1">
            <w:r w:rsidR="0004698C" w:rsidRPr="00127731">
              <w:rPr>
                <w:rStyle w:val="Hyperlink"/>
                <w:rFonts w:asciiTheme="majorHAnsi" w:hAnsiTheme="majorHAnsi" w:cstheme="majorHAnsi"/>
                <w:noProof/>
                <w:spacing w:val="40"/>
                <w14:numSpacing w14:val="proportional"/>
              </w:rPr>
              <w:t>2.</w:t>
            </w:r>
            <w:r w:rsidR="0004698C">
              <w:rPr>
                <w:rFonts w:eastAsiaTheme="minorEastAsia"/>
                <w:noProof/>
                <w:lang w:eastAsia="pt-BR"/>
              </w:rPr>
              <w:tab/>
            </w:r>
            <w:r w:rsidR="0004698C" w:rsidRPr="00127731">
              <w:rPr>
                <w:rStyle w:val="Hyperlink"/>
                <w:rFonts w:asciiTheme="majorHAnsi" w:hAnsiTheme="majorHAnsi" w:cstheme="majorHAnsi"/>
                <w:noProof/>
              </w:rPr>
              <w:t>Sistema Nacional de Metrologia</w:t>
            </w:r>
            <w:r w:rsidR="0004698C">
              <w:rPr>
                <w:noProof/>
                <w:webHidden/>
              </w:rPr>
              <w:tab/>
            </w:r>
            <w:r w:rsidR="0004698C">
              <w:rPr>
                <w:noProof/>
                <w:webHidden/>
              </w:rPr>
              <w:fldChar w:fldCharType="begin"/>
            </w:r>
            <w:r w:rsidR="0004698C">
              <w:rPr>
                <w:noProof/>
                <w:webHidden/>
              </w:rPr>
              <w:instrText xml:space="preserve"> PAGEREF _Toc72261121 \h </w:instrText>
            </w:r>
            <w:r w:rsidR="0004698C">
              <w:rPr>
                <w:noProof/>
                <w:webHidden/>
              </w:rPr>
            </w:r>
            <w:r w:rsidR="0004698C">
              <w:rPr>
                <w:noProof/>
                <w:webHidden/>
              </w:rPr>
              <w:fldChar w:fldCharType="separate"/>
            </w:r>
            <w:r>
              <w:rPr>
                <w:noProof/>
                <w:webHidden/>
              </w:rPr>
              <w:t>6</w:t>
            </w:r>
            <w:r w:rsidR="0004698C">
              <w:rPr>
                <w:noProof/>
                <w:webHidden/>
              </w:rPr>
              <w:fldChar w:fldCharType="end"/>
            </w:r>
          </w:hyperlink>
        </w:p>
        <w:p w14:paraId="466F9821" w14:textId="77777777" w:rsidR="0004698C" w:rsidRDefault="002761C5">
          <w:pPr>
            <w:pStyle w:val="Sumrio1"/>
            <w:tabs>
              <w:tab w:val="left" w:pos="660"/>
              <w:tab w:val="right" w:leader="dot" w:pos="8494"/>
            </w:tabs>
            <w:rPr>
              <w:rFonts w:eastAsiaTheme="minorEastAsia"/>
              <w:noProof/>
              <w:lang w:eastAsia="pt-BR"/>
            </w:rPr>
          </w:pPr>
          <w:hyperlink w:anchor="_Toc72261122" w:history="1">
            <w:r w:rsidR="0004698C" w:rsidRPr="00127731">
              <w:rPr>
                <w:rStyle w:val="Hyperlink"/>
                <w:rFonts w:asciiTheme="majorHAnsi" w:hAnsiTheme="majorHAnsi" w:cstheme="majorHAnsi"/>
                <w:noProof/>
                <w:spacing w:val="40"/>
                <w14:numSpacing w14:val="proportional"/>
              </w:rPr>
              <w:t>3.</w:t>
            </w:r>
            <w:r w:rsidR="0004698C">
              <w:rPr>
                <w:rFonts w:eastAsiaTheme="minorEastAsia"/>
                <w:noProof/>
                <w:lang w:eastAsia="pt-BR"/>
              </w:rPr>
              <w:tab/>
            </w:r>
            <w:r w:rsidR="0004698C" w:rsidRPr="00127731">
              <w:rPr>
                <w:rStyle w:val="Hyperlink"/>
                <w:rFonts w:asciiTheme="majorHAnsi" w:hAnsiTheme="majorHAnsi" w:cstheme="majorHAnsi"/>
                <w:noProof/>
              </w:rPr>
              <w:t>Avaliação da Conformidade</w:t>
            </w:r>
            <w:r w:rsidR="0004698C">
              <w:rPr>
                <w:noProof/>
                <w:webHidden/>
              </w:rPr>
              <w:tab/>
            </w:r>
            <w:r w:rsidR="0004698C">
              <w:rPr>
                <w:noProof/>
                <w:webHidden/>
              </w:rPr>
              <w:fldChar w:fldCharType="begin"/>
            </w:r>
            <w:r w:rsidR="0004698C">
              <w:rPr>
                <w:noProof/>
                <w:webHidden/>
              </w:rPr>
              <w:instrText xml:space="preserve"> PAGEREF _Toc72261122 \h </w:instrText>
            </w:r>
            <w:r w:rsidR="0004698C">
              <w:rPr>
                <w:noProof/>
                <w:webHidden/>
              </w:rPr>
            </w:r>
            <w:r w:rsidR="0004698C">
              <w:rPr>
                <w:noProof/>
                <w:webHidden/>
              </w:rPr>
              <w:fldChar w:fldCharType="separate"/>
            </w:r>
            <w:r>
              <w:rPr>
                <w:noProof/>
                <w:webHidden/>
              </w:rPr>
              <w:t>9</w:t>
            </w:r>
            <w:r w:rsidR="0004698C">
              <w:rPr>
                <w:noProof/>
                <w:webHidden/>
              </w:rPr>
              <w:fldChar w:fldCharType="end"/>
            </w:r>
          </w:hyperlink>
        </w:p>
        <w:p w14:paraId="422BF691" w14:textId="77777777" w:rsidR="0004698C" w:rsidRDefault="002761C5">
          <w:pPr>
            <w:pStyle w:val="Sumrio2"/>
            <w:tabs>
              <w:tab w:val="left" w:pos="880"/>
              <w:tab w:val="right" w:leader="dot" w:pos="8494"/>
            </w:tabs>
            <w:rPr>
              <w:rFonts w:eastAsiaTheme="minorEastAsia"/>
              <w:noProof/>
              <w:lang w:eastAsia="pt-BR"/>
            </w:rPr>
          </w:pPr>
          <w:hyperlink w:anchor="_Toc72261124" w:history="1">
            <w:r w:rsidR="0004698C" w:rsidRPr="00127731">
              <w:rPr>
                <w:rStyle w:val="Hyperlink"/>
                <w:rFonts w:asciiTheme="majorHAnsi" w:hAnsiTheme="majorHAnsi" w:cstheme="majorHAnsi"/>
                <w:noProof/>
              </w:rPr>
              <w:t>3.1.</w:t>
            </w:r>
            <w:r w:rsidR="0004698C">
              <w:rPr>
                <w:rFonts w:eastAsiaTheme="minorEastAsia"/>
                <w:noProof/>
                <w:lang w:eastAsia="pt-BR"/>
              </w:rPr>
              <w:tab/>
            </w:r>
            <w:r w:rsidR="0004698C" w:rsidRPr="00127731">
              <w:rPr>
                <w:rStyle w:val="Hyperlink"/>
                <w:rFonts w:asciiTheme="majorHAnsi" w:hAnsiTheme="majorHAnsi" w:cstheme="majorHAnsi"/>
                <w:noProof/>
              </w:rPr>
              <w:t>Importância da Avaliação da Conformidade</w:t>
            </w:r>
            <w:r w:rsidR="0004698C">
              <w:rPr>
                <w:noProof/>
                <w:webHidden/>
              </w:rPr>
              <w:tab/>
            </w:r>
            <w:r w:rsidR="0004698C">
              <w:rPr>
                <w:noProof/>
                <w:webHidden/>
              </w:rPr>
              <w:fldChar w:fldCharType="begin"/>
            </w:r>
            <w:r w:rsidR="0004698C">
              <w:rPr>
                <w:noProof/>
                <w:webHidden/>
              </w:rPr>
              <w:instrText xml:space="preserve"> PAGEREF _Toc72261124 \h </w:instrText>
            </w:r>
            <w:r w:rsidR="0004698C">
              <w:rPr>
                <w:noProof/>
                <w:webHidden/>
              </w:rPr>
            </w:r>
            <w:r w:rsidR="0004698C">
              <w:rPr>
                <w:noProof/>
                <w:webHidden/>
              </w:rPr>
              <w:fldChar w:fldCharType="separate"/>
            </w:r>
            <w:r>
              <w:rPr>
                <w:noProof/>
                <w:webHidden/>
              </w:rPr>
              <w:t>11</w:t>
            </w:r>
            <w:r w:rsidR="0004698C">
              <w:rPr>
                <w:noProof/>
                <w:webHidden/>
              </w:rPr>
              <w:fldChar w:fldCharType="end"/>
            </w:r>
          </w:hyperlink>
        </w:p>
        <w:p w14:paraId="2B9EE494" w14:textId="77777777" w:rsidR="0004698C" w:rsidRDefault="002761C5">
          <w:pPr>
            <w:pStyle w:val="Sumrio2"/>
            <w:tabs>
              <w:tab w:val="left" w:pos="880"/>
              <w:tab w:val="right" w:leader="dot" w:pos="8494"/>
            </w:tabs>
            <w:rPr>
              <w:rFonts w:eastAsiaTheme="minorEastAsia"/>
              <w:noProof/>
              <w:lang w:eastAsia="pt-BR"/>
            </w:rPr>
          </w:pPr>
          <w:hyperlink w:anchor="_Toc72261125" w:history="1">
            <w:r w:rsidR="0004698C" w:rsidRPr="00127731">
              <w:rPr>
                <w:rStyle w:val="Hyperlink"/>
                <w:rFonts w:asciiTheme="majorHAnsi" w:hAnsiTheme="majorHAnsi" w:cstheme="majorHAnsi"/>
                <w:noProof/>
              </w:rPr>
              <w:t>3.2.</w:t>
            </w:r>
            <w:r w:rsidR="0004698C">
              <w:rPr>
                <w:rFonts w:eastAsiaTheme="minorEastAsia"/>
                <w:noProof/>
                <w:lang w:eastAsia="pt-BR"/>
              </w:rPr>
              <w:tab/>
            </w:r>
            <w:r w:rsidR="0004698C" w:rsidRPr="00127731">
              <w:rPr>
                <w:rStyle w:val="Hyperlink"/>
                <w:rFonts w:asciiTheme="majorHAnsi" w:hAnsiTheme="majorHAnsi" w:cstheme="majorHAnsi"/>
                <w:noProof/>
              </w:rPr>
              <w:t>Vantagens e desvantagens da Avaliação da Conformidade</w:t>
            </w:r>
            <w:r w:rsidR="0004698C">
              <w:rPr>
                <w:noProof/>
                <w:webHidden/>
              </w:rPr>
              <w:tab/>
            </w:r>
            <w:r w:rsidR="0004698C">
              <w:rPr>
                <w:noProof/>
                <w:webHidden/>
              </w:rPr>
              <w:fldChar w:fldCharType="begin"/>
            </w:r>
            <w:r w:rsidR="0004698C">
              <w:rPr>
                <w:noProof/>
                <w:webHidden/>
              </w:rPr>
              <w:instrText xml:space="preserve"> PAGEREF _Toc72261125 \h </w:instrText>
            </w:r>
            <w:r w:rsidR="0004698C">
              <w:rPr>
                <w:noProof/>
                <w:webHidden/>
              </w:rPr>
            </w:r>
            <w:r w:rsidR="0004698C">
              <w:rPr>
                <w:noProof/>
                <w:webHidden/>
              </w:rPr>
              <w:fldChar w:fldCharType="separate"/>
            </w:r>
            <w:r>
              <w:rPr>
                <w:noProof/>
                <w:webHidden/>
              </w:rPr>
              <w:t>13</w:t>
            </w:r>
            <w:r w:rsidR="0004698C">
              <w:rPr>
                <w:noProof/>
                <w:webHidden/>
              </w:rPr>
              <w:fldChar w:fldCharType="end"/>
            </w:r>
          </w:hyperlink>
        </w:p>
        <w:p w14:paraId="09B3DBAF" w14:textId="77777777" w:rsidR="0004698C" w:rsidRDefault="002761C5">
          <w:pPr>
            <w:pStyle w:val="Sumrio1"/>
            <w:tabs>
              <w:tab w:val="right" w:leader="dot" w:pos="8494"/>
            </w:tabs>
            <w:rPr>
              <w:rFonts w:eastAsiaTheme="minorEastAsia"/>
              <w:noProof/>
              <w:lang w:eastAsia="pt-BR"/>
            </w:rPr>
          </w:pPr>
          <w:hyperlink w:anchor="_Toc72261126" w:history="1">
            <w:r w:rsidR="0004698C" w:rsidRPr="00127731">
              <w:rPr>
                <w:rStyle w:val="Hyperlink"/>
                <w:rFonts w:asciiTheme="majorHAnsi" w:hAnsiTheme="majorHAnsi" w:cstheme="majorHAnsi"/>
                <w:noProof/>
              </w:rPr>
              <w:t>Referências</w:t>
            </w:r>
            <w:r w:rsidR="0004698C">
              <w:rPr>
                <w:noProof/>
                <w:webHidden/>
              </w:rPr>
              <w:tab/>
            </w:r>
            <w:r w:rsidR="0004698C">
              <w:rPr>
                <w:noProof/>
                <w:webHidden/>
              </w:rPr>
              <w:fldChar w:fldCharType="begin"/>
            </w:r>
            <w:r w:rsidR="0004698C">
              <w:rPr>
                <w:noProof/>
                <w:webHidden/>
              </w:rPr>
              <w:instrText xml:space="preserve"> PAGEREF _Toc72261126 \h </w:instrText>
            </w:r>
            <w:r w:rsidR="0004698C">
              <w:rPr>
                <w:noProof/>
                <w:webHidden/>
              </w:rPr>
            </w:r>
            <w:r w:rsidR="0004698C">
              <w:rPr>
                <w:noProof/>
                <w:webHidden/>
              </w:rPr>
              <w:fldChar w:fldCharType="separate"/>
            </w:r>
            <w:r>
              <w:rPr>
                <w:noProof/>
                <w:webHidden/>
              </w:rPr>
              <w:t>15</w:t>
            </w:r>
            <w:r w:rsidR="0004698C">
              <w:rPr>
                <w:noProof/>
                <w:webHidden/>
              </w:rPr>
              <w:fldChar w:fldCharType="end"/>
            </w:r>
          </w:hyperlink>
        </w:p>
        <w:p w14:paraId="23C9CC69" w14:textId="7A96764A" w:rsidR="00E57769" w:rsidRPr="00AC0A9D" w:rsidRDefault="00E57769" w:rsidP="008767C0">
          <w:pPr>
            <w:spacing w:before="120" w:after="120" w:line="360" w:lineRule="auto"/>
            <w:rPr>
              <w:rFonts w:asciiTheme="majorHAnsi" w:hAnsiTheme="majorHAnsi" w:cstheme="majorHAnsi"/>
            </w:rPr>
          </w:pPr>
          <w:r w:rsidRPr="0004698C">
            <w:rPr>
              <w:rFonts w:asciiTheme="majorHAnsi" w:hAnsiTheme="majorHAnsi" w:cstheme="majorHAnsi"/>
              <w:b/>
              <w:bCs/>
            </w:rPr>
            <w:fldChar w:fldCharType="end"/>
          </w:r>
        </w:p>
      </w:sdtContent>
    </w:sdt>
    <w:p w14:paraId="2D7C1309" w14:textId="77777777" w:rsidR="00E57769" w:rsidRPr="00AC0A9D" w:rsidRDefault="00E57769" w:rsidP="008767C0">
      <w:pPr>
        <w:spacing w:before="120" w:after="120" w:line="360" w:lineRule="auto"/>
        <w:rPr>
          <w:rFonts w:asciiTheme="majorHAnsi" w:hAnsiTheme="majorHAnsi" w:cstheme="majorHAnsi"/>
        </w:rPr>
      </w:pPr>
    </w:p>
    <w:p w14:paraId="0BF309ED" w14:textId="77777777" w:rsidR="00E57769" w:rsidRPr="00AC0A9D" w:rsidRDefault="00E57769" w:rsidP="008767C0">
      <w:pPr>
        <w:spacing w:before="120" w:after="120" w:line="360" w:lineRule="auto"/>
        <w:rPr>
          <w:rFonts w:asciiTheme="majorHAnsi" w:hAnsiTheme="majorHAnsi" w:cstheme="majorHAnsi"/>
        </w:rPr>
      </w:pPr>
    </w:p>
    <w:p w14:paraId="4FEE948B" w14:textId="77777777" w:rsidR="00E57769" w:rsidRPr="00AC0A9D" w:rsidRDefault="00E57769" w:rsidP="008767C0">
      <w:pPr>
        <w:spacing w:before="120" w:after="120" w:line="360" w:lineRule="auto"/>
        <w:rPr>
          <w:rFonts w:asciiTheme="majorHAnsi" w:hAnsiTheme="majorHAnsi" w:cstheme="majorHAnsi"/>
        </w:rPr>
      </w:pPr>
    </w:p>
    <w:p w14:paraId="0EC56A3F" w14:textId="77777777" w:rsidR="00E57769" w:rsidRPr="00AC0A9D" w:rsidRDefault="00E57769" w:rsidP="008767C0">
      <w:pPr>
        <w:spacing w:before="120" w:after="120" w:line="360" w:lineRule="auto"/>
        <w:rPr>
          <w:rFonts w:asciiTheme="majorHAnsi" w:hAnsiTheme="majorHAnsi" w:cstheme="majorHAnsi"/>
        </w:rPr>
      </w:pPr>
    </w:p>
    <w:p w14:paraId="4689ACE2" w14:textId="77777777" w:rsidR="00E57769" w:rsidRPr="00AC0A9D" w:rsidRDefault="00E57769" w:rsidP="008767C0">
      <w:pPr>
        <w:spacing w:before="120" w:after="120" w:line="360" w:lineRule="auto"/>
        <w:rPr>
          <w:rFonts w:asciiTheme="majorHAnsi" w:hAnsiTheme="majorHAnsi" w:cstheme="majorHAnsi"/>
        </w:rPr>
      </w:pPr>
    </w:p>
    <w:p w14:paraId="2ABA2435" w14:textId="77777777" w:rsidR="00E57769" w:rsidRPr="00AC0A9D" w:rsidRDefault="00E57769" w:rsidP="008767C0">
      <w:pPr>
        <w:spacing w:before="120" w:after="120" w:line="360" w:lineRule="auto"/>
        <w:rPr>
          <w:rFonts w:asciiTheme="majorHAnsi" w:hAnsiTheme="majorHAnsi" w:cstheme="majorHAnsi"/>
        </w:rPr>
      </w:pPr>
    </w:p>
    <w:p w14:paraId="420BD162" w14:textId="77777777" w:rsidR="00E57769" w:rsidRPr="00AC0A9D" w:rsidRDefault="00E57769" w:rsidP="008767C0">
      <w:pPr>
        <w:spacing w:before="120" w:after="120" w:line="360" w:lineRule="auto"/>
        <w:rPr>
          <w:rFonts w:asciiTheme="majorHAnsi" w:hAnsiTheme="majorHAnsi" w:cstheme="majorHAnsi"/>
        </w:rPr>
      </w:pPr>
    </w:p>
    <w:p w14:paraId="5A6C650E" w14:textId="77777777" w:rsidR="00E57769" w:rsidRPr="00AC0A9D" w:rsidRDefault="00E57769" w:rsidP="008767C0">
      <w:pPr>
        <w:spacing w:before="120" w:after="120" w:line="360" w:lineRule="auto"/>
        <w:rPr>
          <w:rFonts w:asciiTheme="majorHAnsi" w:hAnsiTheme="majorHAnsi" w:cstheme="majorHAnsi"/>
        </w:rPr>
      </w:pPr>
    </w:p>
    <w:p w14:paraId="0B6DBCBB" w14:textId="77777777" w:rsidR="00E57769" w:rsidRPr="00AC0A9D" w:rsidRDefault="00E57769" w:rsidP="008767C0">
      <w:pPr>
        <w:spacing w:before="120" w:after="120" w:line="360" w:lineRule="auto"/>
        <w:rPr>
          <w:rFonts w:asciiTheme="majorHAnsi" w:hAnsiTheme="majorHAnsi" w:cstheme="majorHAnsi"/>
        </w:rPr>
      </w:pPr>
    </w:p>
    <w:p w14:paraId="0BEE01F7" w14:textId="77777777" w:rsidR="00E57769" w:rsidRPr="00AC0A9D" w:rsidRDefault="00E57769" w:rsidP="008767C0">
      <w:pPr>
        <w:spacing w:before="120" w:after="120" w:line="360" w:lineRule="auto"/>
        <w:rPr>
          <w:rFonts w:asciiTheme="majorHAnsi" w:hAnsiTheme="majorHAnsi" w:cstheme="majorHAnsi"/>
        </w:rPr>
      </w:pPr>
    </w:p>
    <w:p w14:paraId="44CE24C4" w14:textId="77777777" w:rsidR="00E57769" w:rsidRPr="00AC0A9D" w:rsidRDefault="00E57769" w:rsidP="008767C0">
      <w:pPr>
        <w:spacing w:before="120" w:after="120" w:line="360" w:lineRule="auto"/>
        <w:rPr>
          <w:rFonts w:asciiTheme="majorHAnsi" w:hAnsiTheme="majorHAnsi" w:cstheme="majorHAnsi"/>
        </w:rPr>
      </w:pPr>
    </w:p>
    <w:p w14:paraId="33654A59" w14:textId="77777777" w:rsidR="00E57769" w:rsidRPr="00AC0A9D" w:rsidRDefault="00E57769" w:rsidP="008767C0">
      <w:pPr>
        <w:spacing w:before="120" w:after="120" w:line="360" w:lineRule="auto"/>
        <w:rPr>
          <w:rFonts w:asciiTheme="majorHAnsi" w:hAnsiTheme="majorHAnsi" w:cstheme="majorHAnsi"/>
        </w:rPr>
      </w:pPr>
    </w:p>
    <w:p w14:paraId="4FE1F553" w14:textId="77777777" w:rsidR="00E57769" w:rsidRPr="00AC0A9D" w:rsidRDefault="00E57769" w:rsidP="008767C0">
      <w:pPr>
        <w:spacing w:before="120" w:after="120" w:line="360" w:lineRule="auto"/>
        <w:rPr>
          <w:rFonts w:asciiTheme="majorHAnsi" w:hAnsiTheme="majorHAnsi" w:cstheme="majorHAnsi"/>
        </w:rPr>
      </w:pPr>
    </w:p>
    <w:p w14:paraId="2A8D4573" w14:textId="77777777" w:rsidR="00E57769" w:rsidRPr="00AC0A9D" w:rsidRDefault="00E57769" w:rsidP="008767C0">
      <w:pPr>
        <w:spacing w:before="120" w:after="120" w:line="360" w:lineRule="auto"/>
        <w:rPr>
          <w:rFonts w:asciiTheme="majorHAnsi" w:hAnsiTheme="majorHAnsi" w:cstheme="majorHAnsi"/>
        </w:rPr>
      </w:pPr>
    </w:p>
    <w:p w14:paraId="08AE0D85" w14:textId="77777777" w:rsidR="00E57769" w:rsidRDefault="00E57769" w:rsidP="008767C0">
      <w:pPr>
        <w:spacing w:before="120" w:after="120" w:line="360" w:lineRule="auto"/>
        <w:rPr>
          <w:rFonts w:asciiTheme="majorHAnsi" w:hAnsiTheme="majorHAnsi" w:cstheme="majorHAnsi"/>
        </w:rPr>
      </w:pPr>
    </w:p>
    <w:p w14:paraId="1B003091" w14:textId="77777777" w:rsidR="00A55AB6" w:rsidRPr="00AC0A9D" w:rsidRDefault="00A55AB6" w:rsidP="008767C0">
      <w:pPr>
        <w:spacing w:before="120" w:after="120" w:line="360" w:lineRule="auto"/>
        <w:rPr>
          <w:rFonts w:asciiTheme="majorHAnsi" w:hAnsiTheme="majorHAnsi" w:cstheme="majorHAnsi"/>
        </w:rPr>
      </w:pPr>
    </w:p>
    <w:p w14:paraId="5D619DDA" w14:textId="77777777" w:rsidR="00E57769" w:rsidRPr="00AC0A9D" w:rsidRDefault="00E57769" w:rsidP="008767C0">
      <w:pPr>
        <w:spacing w:before="120" w:after="120" w:line="360" w:lineRule="auto"/>
        <w:rPr>
          <w:rFonts w:asciiTheme="majorHAnsi" w:hAnsiTheme="majorHAnsi" w:cstheme="majorHAnsi"/>
        </w:rPr>
      </w:pPr>
    </w:p>
    <w:p w14:paraId="04F18BCA" w14:textId="77777777" w:rsidR="00E57769" w:rsidRPr="00AC0A9D" w:rsidRDefault="00E57769" w:rsidP="008767C0">
      <w:pPr>
        <w:spacing w:before="120" w:after="120" w:line="360" w:lineRule="auto"/>
        <w:rPr>
          <w:rFonts w:asciiTheme="majorHAnsi" w:hAnsiTheme="majorHAnsi" w:cstheme="majorHAnsi"/>
        </w:rPr>
      </w:pPr>
    </w:p>
    <w:p w14:paraId="05D091C8" w14:textId="01A0B664" w:rsidR="00E57769" w:rsidRPr="00AC0A9D" w:rsidRDefault="00E57769" w:rsidP="008767C0">
      <w:pPr>
        <w:pStyle w:val="Ttulo1"/>
        <w:spacing w:before="120" w:after="120"/>
        <w:jc w:val="center"/>
        <w:rPr>
          <w:rFonts w:asciiTheme="majorHAnsi" w:hAnsiTheme="majorHAnsi" w:cstheme="majorHAnsi"/>
          <w:sz w:val="22"/>
          <w:szCs w:val="22"/>
        </w:rPr>
      </w:pPr>
      <w:bookmarkStart w:id="1" w:name="_Toc72261117"/>
      <w:r w:rsidRPr="0004698C">
        <w:rPr>
          <w:rFonts w:asciiTheme="majorHAnsi" w:hAnsiTheme="majorHAnsi" w:cstheme="majorHAnsi"/>
        </w:rPr>
        <w:t>Apresentação</w:t>
      </w:r>
      <w:bookmarkEnd w:id="1"/>
    </w:p>
    <w:p w14:paraId="7611137B" w14:textId="77777777" w:rsidR="00FA50DF" w:rsidRPr="00AC0A9D" w:rsidRDefault="00FA50DF" w:rsidP="00972B91">
      <w:pPr>
        <w:spacing w:before="120" w:after="120" w:line="360" w:lineRule="auto"/>
        <w:rPr>
          <w:rFonts w:asciiTheme="majorHAnsi" w:hAnsiTheme="majorHAnsi" w:cstheme="majorHAnsi"/>
        </w:rPr>
      </w:pPr>
    </w:p>
    <w:p w14:paraId="29AF9FEE" w14:textId="7AAE75CB" w:rsidR="00FA50DF" w:rsidRPr="00A96634" w:rsidRDefault="00FA50DF">
      <w:pPr>
        <w:pStyle w:val="Corpodetexto"/>
        <w:rPr>
          <w:rFonts w:asciiTheme="majorHAnsi" w:hAnsiTheme="majorHAnsi" w:cstheme="majorHAnsi"/>
          <w:sz w:val="22"/>
          <w:szCs w:val="22"/>
        </w:rPr>
      </w:pPr>
      <w:r w:rsidRPr="00A96634">
        <w:rPr>
          <w:rFonts w:asciiTheme="majorHAnsi" w:hAnsiTheme="majorHAnsi" w:cstheme="majorHAnsi"/>
          <w:sz w:val="22"/>
          <w:szCs w:val="22"/>
        </w:rPr>
        <w:t xml:space="preserve">Sejam bem-vindos </w:t>
      </w:r>
      <w:r w:rsidR="00BA5687">
        <w:rPr>
          <w:rFonts w:asciiTheme="majorHAnsi" w:hAnsiTheme="majorHAnsi" w:cstheme="majorHAnsi"/>
          <w:sz w:val="22"/>
          <w:szCs w:val="22"/>
        </w:rPr>
        <w:t>às aulas sobre</w:t>
      </w:r>
      <w:r w:rsidRPr="00A96634">
        <w:rPr>
          <w:rFonts w:asciiTheme="majorHAnsi" w:hAnsiTheme="majorHAnsi" w:cstheme="majorHAnsi"/>
          <w:sz w:val="22"/>
          <w:szCs w:val="22"/>
        </w:rPr>
        <w:t xml:space="preserve"> </w:t>
      </w:r>
      <w:r w:rsidR="00E57769" w:rsidRPr="00A96634">
        <w:rPr>
          <w:rFonts w:asciiTheme="majorHAnsi" w:hAnsiTheme="majorHAnsi" w:cstheme="majorHAnsi"/>
          <w:sz w:val="22"/>
          <w:szCs w:val="22"/>
        </w:rPr>
        <w:t>Fundamentos da Acreditação</w:t>
      </w:r>
      <w:r w:rsidR="00D111F3">
        <w:rPr>
          <w:rFonts w:asciiTheme="majorHAnsi" w:hAnsiTheme="majorHAnsi" w:cstheme="majorHAnsi"/>
          <w:sz w:val="22"/>
          <w:szCs w:val="22"/>
        </w:rPr>
        <w:t xml:space="preserve"> e</w:t>
      </w:r>
      <w:r w:rsidR="00BE7042" w:rsidRPr="00A96634">
        <w:rPr>
          <w:rFonts w:asciiTheme="majorHAnsi" w:hAnsiTheme="majorHAnsi" w:cstheme="majorHAnsi"/>
          <w:sz w:val="22"/>
          <w:szCs w:val="22"/>
        </w:rPr>
        <w:t xml:space="preserve"> Avaliação da Conformidade</w:t>
      </w:r>
      <w:r w:rsidRPr="00A96634">
        <w:rPr>
          <w:rFonts w:asciiTheme="majorHAnsi" w:hAnsiTheme="majorHAnsi" w:cstheme="majorHAnsi"/>
          <w:sz w:val="22"/>
          <w:szCs w:val="22"/>
        </w:rPr>
        <w:t xml:space="preserve">. </w:t>
      </w:r>
    </w:p>
    <w:p w14:paraId="5C1F8267" w14:textId="11E9F771" w:rsidR="00C2319C" w:rsidRPr="00AC0A9D" w:rsidRDefault="00C2319C" w:rsidP="00C2319C">
      <w:pPr>
        <w:spacing w:before="120" w:after="120" w:line="360" w:lineRule="auto"/>
        <w:jc w:val="both"/>
        <w:rPr>
          <w:rFonts w:asciiTheme="majorHAnsi" w:hAnsiTheme="majorHAnsi" w:cstheme="majorHAnsi"/>
        </w:rPr>
      </w:pPr>
      <w:r w:rsidRPr="00AC0A9D">
        <w:rPr>
          <w:rFonts w:asciiTheme="majorHAnsi" w:hAnsiTheme="majorHAnsi" w:cstheme="majorHAnsi"/>
        </w:rPr>
        <w:t>Na aula de hoje falaremos</w:t>
      </w:r>
      <w:r w:rsidR="00D111F3">
        <w:rPr>
          <w:rFonts w:asciiTheme="majorHAnsi" w:hAnsiTheme="majorHAnsi" w:cstheme="majorHAnsi"/>
        </w:rPr>
        <w:t xml:space="preserve"> sobre</w:t>
      </w:r>
      <w:r w:rsidRPr="00AC0A9D">
        <w:rPr>
          <w:rFonts w:asciiTheme="majorHAnsi" w:hAnsiTheme="majorHAnsi" w:cstheme="majorHAnsi"/>
        </w:rPr>
        <w:t xml:space="preserve"> a</w:t>
      </w:r>
      <w:r w:rsidR="00396DC4" w:rsidRPr="00AC0A9D">
        <w:rPr>
          <w:rFonts w:asciiTheme="majorHAnsi" w:hAnsiTheme="majorHAnsi" w:cstheme="majorHAnsi"/>
        </w:rPr>
        <w:t xml:space="preserve"> </w:t>
      </w:r>
      <w:r w:rsidRPr="00AC0A9D">
        <w:rPr>
          <w:rFonts w:asciiTheme="majorHAnsi" w:hAnsiTheme="majorHAnsi" w:cstheme="majorHAnsi"/>
        </w:rPr>
        <w:t>Estrutura Metrológica Mundial</w:t>
      </w:r>
      <w:r w:rsidR="00396DC4" w:rsidRPr="00AC0A9D">
        <w:rPr>
          <w:rFonts w:asciiTheme="majorHAnsi" w:hAnsiTheme="majorHAnsi" w:cstheme="majorHAnsi"/>
        </w:rPr>
        <w:t xml:space="preserve"> e</w:t>
      </w:r>
      <w:r w:rsidRPr="00AC0A9D">
        <w:rPr>
          <w:rFonts w:asciiTheme="majorHAnsi" w:hAnsiTheme="majorHAnsi" w:cstheme="majorHAnsi"/>
        </w:rPr>
        <w:t xml:space="preserve"> o Sistema Nacional de Metrologia</w:t>
      </w:r>
      <w:r w:rsidR="00396DC4" w:rsidRPr="00AC0A9D">
        <w:rPr>
          <w:rFonts w:asciiTheme="majorHAnsi" w:hAnsiTheme="majorHAnsi" w:cstheme="majorHAnsi"/>
        </w:rPr>
        <w:t>. Além disto</w:t>
      </w:r>
      <w:r w:rsidR="00D111F3">
        <w:rPr>
          <w:rFonts w:asciiTheme="majorHAnsi" w:hAnsiTheme="majorHAnsi" w:cstheme="majorHAnsi"/>
        </w:rPr>
        <w:t>,</w:t>
      </w:r>
      <w:r w:rsidR="00396DC4" w:rsidRPr="00AC0A9D">
        <w:rPr>
          <w:rFonts w:asciiTheme="majorHAnsi" w:hAnsiTheme="majorHAnsi" w:cstheme="majorHAnsi"/>
        </w:rPr>
        <w:t xml:space="preserve"> começaremos a falar</w:t>
      </w:r>
      <w:r w:rsidRPr="00AC0A9D">
        <w:rPr>
          <w:rFonts w:asciiTheme="majorHAnsi" w:hAnsiTheme="majorHAnsi" w:cstheme="majorHAnsi"/>
        </w:rPr>
        <w:t xml:space="preserve"> sobre a Avaliação da Conformidade</w:t>
      </w:r>
      <w:r w:rsidR="00396DC4" w:rsidRPr="00AC0A9D">
        <w:rPr>
          <w:rFonts w:asciiTheme="majorHAnsi" w:hAnsiTheme="majorHAnsi" w:cstheme="majorHAnsi"/>
        </w:rPr>
        <w:t xml:space="preserve">, enfatizando </w:t>
      </w:r>
      <w:r w:rsidRPr="00AC0A9D">
        <w:rPr>
          <w:rFonts w:asciiTheme="majorHAnsi" w:hAnsiTheme="majorHAnsi" w:cstheme="majorHAnsi"/>
        </w:rPr>
        <w:t>sua importância</w:t>
      </w:r>
      <w:r w:rsidR="00396DC4" w:rsidRPr="00AC0A9D">
        <w:rPr>
          <w:rFonts w:asciiTheme="majorHAnsi" w:hAnsiTheme="majorHAnsi" w:cstheme="majorHAnsi"/>
        </w:rPr>
        <w:t>, vantagens e desvantagens</w:t>
      </w:r>
      <w:r w:rsidRPr="00AC0A9D">
        <w:rPr>
          <w:rFonts w:asciiTheme="majorHAnsi" w:hAnsiTheme="majorHAnsi" w:cstheme="majorHAnsi"/>
        </w:rPr>
        <w:t>.</w:t>
      </w:r>
    </w:p>
    <w:p w14:paraId="320A787E" w14:textId="3972D0B8" w:rsidR="00FA50DF" w:rsidRPr="00AC0A9D" w:rsidRDefault="00FA50DF" w:rsidP="00972B91">
      <w:pPr>
        <w:spacing w:before="120" w:after="120" w:line="360" w:lineRule="auto"/>
        <w:jc w:val="both"/>
        <w:rPr>
          <w:rFonts w:asciiTheme="majorHAnsi" w:hAnsiTheme="majorHAnsi" w:cstheme="majorHAnsi"/>
        </w:rPr>
      </w:pPr>
      <w:r w:rsidRPr="00AC0A9D">
        <w:rPr>
          <w:rFonts w:asciiTheme="majorHAnsi" w:hAnsiTheme="majorHAnsi" w:cstheme="majorHAnsi"/>
        </w:rPr>
        <w:t>Prontos para começar?</w:t>
      </w:r>
    </w:p>
    <w:p w14:paraId="04BDECA7" w14:textId="707B2F8D" w:rsidR="002878DB" w:rsidRPr="00A96634" w:rsidRDefault="002878DB">
      <w:pPr>
        <w:pStyle w:val="Corpodetexto"/>
        <w:rPr>
          <w:rFonts w:asciiTheme="majorHAnsi" w:hAnsiTheme="majorHAnsi" w:cstheme="majorHAnsi"/>
          <w:sz w:val="22"/>
          <w:szCs w:val="22"/>
        </w:rPr>
      </w:pPr>
    </w:p>
    <w:p w14:paraId="40DC3ACB" w14:textId="5BC86047" w:rsidR="002878DB" w:rsidRPr="00A96634" w:rsidRDefault="002878DB">
      <w:pPr>
        <w:pStyle w:val="Corpodetexto"/>
        <w:rPr>
          <w:rFonts w:asciiTheme="majorHAnsi" w:hAnsiTheme="majorHAnsi" w:cstheme="majorHAnsi"/>
          <w:sz w:val="22"/>
          <w:szCs w:val="22"/>
        </w:rPr>
      </w:pPr>
    </w:p>
    <w:p w14:paraId="57157532" w14:textId="77777777" w:rsidR="00E57769" w:rsidRPr="00A96634" w:rsidRDefault="00E57769">
      <w:pPr>
        <w:pStyle w:val="Corpodetexto"/>
        <w:rPr>
          <w:rFonts w:asciiTheme="majorHAnsi" w:hAnsiTheme="majorHAnsi" w:cstheme="majorHAnsi"/>
          <w:sz w:val="22"/>
          <w:szCs w:val="22"/>
        </w:rPr>
      </w:pPr>
    </w:p>
    <w:p w14:paraId="6D3DDE05" w14:textId="77777777" w:rsidR="00E57769" w:rsidRPr="00A96634" w:rsidRDefault="00E57769">
      <w:pPr>
        <w:pStyle w:val="Corpodetexto"/>
        <w:rPr>
          <w:rFonts w:asciiTheme="majorHAnsi" w:hAnsiTheme="majorHAnsi" w:cstheme="majorHAnsi"/>
          <w:sz w:val="22"/>
          <w:szCs w:val="22"/>
        </w:rPr>
      </w:pPr>
    </w:p>
    <w:p w14:paraId="6DB424C6" w14:textId="77777777" w:rsidR="00396DC4" w:rsidRPr="00A96634" w:rsidRDefault="00396DC4">
      <w:pPr>
        <w:pStyle w:val="Corpodetexto"/>
        <w:rPr>
          <w:rFonts w:asciiTheme="majorHAnsi" w:hAnsiTheme="majorHAnsi" w:cstheme="majorHAnsi"/>
          <w:sz w:val="22"/>
          <w:szCs w:val="22"/>
        </w:rPr>
      </w:pPr>
    </w:p>
    <w:p w14:paraId="32F3A143" w14:textId="77777777" w:rsidR="00396DC4" w:rsidRPr="00A96634" w:rsidRDefault="00396DC4">
      <w:pPr>
        <w:pStyle w:val="Corpodetexto"/>
        <w:rPr>
          <w:rFonts w:asciiTheme="majorHAnsi" w:hAnsiTheme="majorHAnsi" w:cstheme="majorHAnsi"/>
          <w:sz w:val="22"/>
          <w:szCs w:val="22"/>
        </w:rPr>
      </w:pPr>
    </w:p>
    <w:p w14:paraId="477E5F61" w14:textId="77777777" w:rsidR="00396DC4" w:rsidRDefault="00396DC4">
      <w:pPr>
        <w:pStyle w:val="Corpodetexto"/>
        <w:rPr>
          <w:rFonts w:asciiTheme="majorHAnsi" w:hAnsiTheme="majorHAnsi" w:cstheme="majorHAnsi"/>
          <w:sz w:val="22"/>
          <w:szCs w:val="22"/>
        </w:rPr>
      </w:pPr>
    </w:p>
    <w:p w14:paraId="3FD9A0F2" w14:textId="77777777" w:rsidR="00A55AB6" w:rsidRPr="00A96634" w:rsidRDefault="00A55AB6">
      <w:pPr>
        <w:pStyle w:val="Corpodetexto"/>
        <w:rPr>
          <w:rFonts w:asciiTheme="majorHAnsi" w:hAnsiTheme="majorHAnsi" w:cstheme="majorHAnsi"/>
          <w:sz w:val="22"/>
          <w:szCs w:val="22"/>
        </w:rPr>
      </w:pPr>
    </w:p>
    <w:p w14:paraId="561DF67C" w14:textId="77777777" w:rsidR="00396DC4" w:rsidRDefault="00396DC4">
      <w:pPr>
        <w:pStyle w:val="Corpodetexto"/>
        <w:rPr>
          <w:rFonts w:asciiTheme="majorHAnsi" w:hAnsiTheme="majorHAnsi" w:cstheme="majorHAnsi"/>
          <w:sz w:val="22"/>
          <w:szCs w:val="22"/>
        </w:rPr>
      </w:pPr>
    </w:p>
    <w:p w14:paraId="794B56BC" w14:textId="77777777" w:rsidR="009101BB" w:rsidRDefault="009101BB">
      <w:pPr>
        <w:pStyle w:val="Corpodetexto"/>
        <w:rPr>
          <w:rFonts w:asciiTheme="majorHAnsi" w:hAnsiTheme="majorHAnsi" w:cstheme="majorHAnsi"/>
          <w:sz w:val="22"/>
          <w:szCs w:val="22"/>
        </w:rPr>
      </w:pPr>
    </w:p>
    <w:p w14:paraId="5A4B5345" w14:textId="77777777" w:rsidR="009101BB" w:rsidRPr="00A96634" w:rsidRDefault="009101BB">
      <w:pPr>
        <w:pStyle w:val="Corpodetexto"/>
        <w:rPr>
          <w:rFonts w:asciiTheme="majorHAnsi" w:hAnsiTheme="majorHAnsi" w:cstheme="majorHAnsi"/>
          <w:sz w:val="22"/>
          <w:szCs w:val="22"/>
        </w:rPr>
      </w:pPr>
    </w:p>
    <w:p w14:paraId="5685E29D" w14:textId="77777777" w:rsidR="00396DC4" w:rsidRPr="00A96634" w:rsidRDefault="00396DC4">
      <w:pPr>
        <w:pStyle w:val="Corpodetexto"/>
        <w:rPr>
          <w:rFonts w:asciiTheme="majorHAnsi" w:hAnsiTheme="majorHAnsi" w:cstheme="majorHAnsi"/>
          <w:sz w:val="22"/>
          <w:szCs w:val="22"/>
        </w:rPr>
      </w:pPr>
    </w:p>
    <w:p w14:paraId="69538CA1" w14:textId="77777777" w:rsidR="00396DC4" w:rsidRDefault="00396DC4">
      <w:pPr>
        <w:pStyle w:val="Corpodetexto"/>
        <w:rPr>
          <w:rFonts w:asciiTheme="majorHAnsi" w:hAnsiTheme="majorHAnsi" w:cstheme="majorHAnsi"/>
          <w:sz w:val="22"/>
          <w:szCs w:val="22"/>
        </w:rPr>
      </w:pPr>
    </w:p>
    <w:p w14:paraId="4E6E9E83" w14:textId="77777777" w:rsidR="0004698C" w:rsidRPr="00A96634" w:rsidRDefault="0004698C">
      <w:pPr>
        <w:pStyle w:val="Corpodetexto"/>
        <w:rPr>
          <w:rFonts w:asciiTheme="majorHAnsi" w:hAnsiTheme="majorHAnsi" w:cstheme="majorHAnsi"/>
          <w:sz w:val="22"/>
          <w:szCs w:val="22"/>
        </w:rPr>
      </w:pPr>
    </w:p>
    <w:p w14:paraId="11BDD7A1" w14:textId="56649E09" w:rsidR="002878DB" w:rsidRPr="0004698C" w:rsidRDefault="002878DB" w:rsidP="00396DC4">
      <w:pPr>
        <w:pStyle w:val="Ttulo1"/>
        <w:numPr>
          <w:ilvl w:val="0"/>
          <w:numId w:val="6"/>
        </w:numPr>
        <w:tabs>
          <w:tab w:val="left" w:pos="426"/>
        </w:tabs>
        <w:spacing w:before="120" w:after="120"/>
        <w:ind w:left="0" w:hanging="11"/>
        <w:rPr>
          <w:rFonts w:asciiTheme="majorHAnsi" w:hAnsiTheme="majorHAnsi" w:cstheme="majorHAnsi"/>
        </w:rPr>
      </w:pPr>
      <w:bookmarkStart w:id="2" w:name="_Toc430880641"/>
      <w:bookmarkStart w:id="3" w:name="_Toc72261118"/>
      <w:r w:rsidRPr="0004698C">
        <w:rPr>
          <w:rFonts w:asciiTheme="majorHAnsi" w:hAnsiTheme="majorHAnsi" w:cstheme="majorHAnsi"/>
        </w:rPr>
        <w:lastRenderedPageBreak/>
        <w:t>Estrutura Metrológica Mundial</w:t>
      </w:r>
      <w:bookmarkEnd w:id="2"/>
      <w:bookmarkEnd w:id="3"/>
    </w:p>
    <w:p w14:paraId="5CF9BA6F" w14:textId="62A20D8D" w:rsidR="004926DF" w:rsidRPr="0004698C" w:rsidRDefault="009F295B" w:rsidP="00972B91">
      <w:pPr>
        <w:spacing w:before="120" w:after="120" w:line="360" w:lineRule="auto"/>
        <w:jc w:val="both"/>
        <w:rPr>
          <w:rFonts w:asciiTheme="majorHAnsi" w:hAnsiTheme="majorHAnsi" w:cstheme="majorHAnsi"/>
        </w:rPr>
      </w:pPr>
      <w:r w:rsidRPr="0004698C">
        <w:rPr>
          <w:rFonts w:asciiTheme="majorHAnsi" w:hAnsiTheme="majorHAnsi" w:cstheme="majorHAnsi"/>
        </w:rPr>
        <w:t>Você sabe qual o papel do Inmetro em relação a metrologia?</w:t>
      </w:r>
    </w:p>
    <w:p w14:paraId="54B1F949" w14:textId="6A402142" w:rsidR="0024353E" w:rsidRPr="00AC0A9D" w:rsidRDefault="009F295B" w:rsidP="00972B91">
      <w:pPr>
        <w:spacing w:before="120" w:after="120" w:line="360" w:lineRule="auto"/>
        <w:jc w:val="both"/>
        <w:rPr>
          <w:rFonts w:asciiTheme="majorHAnsi" w:hAnsiTheme="majorHAnsi" w:cstheme="majorHAnsi"/>
        </w:rPr>
      </w:pPr>
      <w:r w:rsidRPr="0004698C">
        <w:rPr>
          <w:rFonts w:asciiTheme="majorHAnsi" w:hAnsiTheme="majorHAnsi" w:cstheme="majorHAnsi"/>
        </w:rPr>
        <w:t>Bom, p</w:t>
      </w:r>
      <w:r w:rsidR="002878DB" w:rsidRPr="0004698C">
        <w:rPr>
          <w:rFonts w:asciiTheme="majorHAnsi" w:hAnsiTheme="majorHAnsi" w:cstheme="majorHAnsi"/>
        </w:rPr>
        <w:t xml:space="preserve">ara </w:t>
      </w:r>
      <w:r w:rsidR="005C18FC" w:rsidRPr="0004698C">
        <w:rPr>
          <w:rFonts w:asciiTheme="majorHAnsi" w:hAnsiTheme="majorHAnsi" w:cstheme="majorHAnsi"/>
        </w:rPr>
        <w:t xml:space="preserve">que </w:t>
      </w:r>
      <w:r w:rsidR="005C18FC" w:rsidRPr="00AC0A9D">
        <w:rPr>
          <w:rFonts w:asciiTheme="majorHAnsi" w:hAnsiTheme="majorHAnsi" w:cstheme="majorHAnsi"/>
        </w:rPr>
        <w:t xml:space="preserve">possamos entender </w:t>
      </w:r>
      <w:r w:rsidRPr="00AC0A9D">
        <w:rPr>
          <w:rFonts w:asciiTheme="majorHAnsi" w:hAnsiTheme="majorHAnsi" w:cstheme="majorHAnsi"/>
        </w:rPr>
        <w:t>melhor o papel do Inmetro dentro do contexto metrológico</w:t>
      </w:r>
      <w:r w:rsidR="005C18FC" w:rsidRPr="00AC0A9D">
        <w:rPr>
          <w:rFonts w:asciiTheme="majorHAnsi" w:hAnsiTheme="majorHAnsi" w:cstheme="majorHAnsi"/>
        </w:rPr>
        <w:t xml:space="preserve">, precisamos primeiro </w:t>
      </w:r>
      <w:r w:rsidR="002878DB" w:rsidRPr="00AC0A9D">
        <w:rPr>
          <w:rFonts w:asciiTheme="majorHAnsi" w:hAnsiTheme="majorHAnsi" w:cstheme="majorHAnsi"/>
        </w:rPr>
        <w:t>falar sobre a Estrutura Metrológica Mundial</w:t>
      </w:r>
      <w:r w:rsidR="00487ED1" w:rsidRPr="00AC0A9D">
        <w:rPr>
          <w:rFonts w:asciiTheme="majorHAnsi" w:hAnsiTheme="majorHAnsi" w:cstheme="majorHAnsi"/>
        </w:rPr>
        <w:t>. Para isso,</w:t>
      </w:r>
      <w:r w:rsidR="002878DB" w:rsidRPr="00AC0A9D">
        <w:rPr>
          <w:rFonts w:asciiTheme="majorHAnsi" w:hAnsiTheme="majorHAnsi" w:cstheme="majorHAnsi"/>
        </w:rPr>
        <w:t xml:space="preserve"> é necessário dividi-la em dois grandes grupos: </w:t>
      </w:r>
    </w:p>
    <w:p w14:paraId="513D83FC" w14:textId="24B3201F" w:rsidR="0024353E" w:rsidRPr="00AC0A9D" w:rsidRDefault="002878DB" w:rsidP="00972B91">
      <w:pPr>
        <w:pStyle w:val="PargrafodaLista"/>
        <w:numPr>
          <w:ilvl w:val="0"/>
          <w:numId w:val="8"/>
        </w:numPr>
        <w:spacing w:before="120" w:after="120" w:line="360" w:lineRule="auto"/>
        <w:jc w:val="both"/>
        <w:rPr>
          <w:rFonts w:asciiTheme="majorHAnsi" w:hAnsiTheme="majorHAnsi" w:cstheme="majorHAnsi"/>
        </w:rPr>
      </w:pPr>
      <w:r w:rsidRPr="00AC0A9D">
        <w:rPr>
          <w:rFonts w:asciiTheme="majorHAnsi" w:hAnsiTheme="majorHAnsi" w:cstheme="majorHAnsi"/>
          <w:b/>
        </w:rPr>
        <w:t>Metrologia</w:t>
      </w:r>
      <w:r w:rsidRPr="00AC0A9D">
        <w:rPr>
          <w:rFonts w:asciiTheme="majorHAnsi" w:hAnsiTheme="majorHAnsi" w:cstheme="majorHAnsi"/>
        </w:rPr>
        <w:t xml:space="preserve"> </w:t>
      </w:r>
      <w:proofErr w:type="spellStart"/>
      <w:r w:rsidRPr="00AC0A9D">
        <w:rPr>
          <w:rFonts w:asciiTheme="majorHAnsi" w:hAnsiTheme="majorHAnsi" w:cstheme="majorHAnsi"/>
          <w:b/>
        </w:rPr>
        <w:t>Científica</w:t>
      </w:r>
      <w:proofErr w:type="spellEnd"/>
      <w:r w:rsidRPr="00AC0A9D">
        <w:rPr>
          <w:rFonts w:asciiTheme="majorHAnsi" w:hAnsiTheme="majorHAnsi" w:cstheme="majorHAnsi"/>
          <w:b/>
        </w:rPr>
        <w:t xml:space="preserve"> e Industrial</w:t>
      </w:r>
      <w:r w:rsidRPr="00AC0A9D">
        <w:rPr>
          <w:rFonts w:asciiTheme="majorHAnsi" w:hAnsiTheme="majorHAnsi" w:cstheme="majorHAnsi"/>
        </w:rPr>
        <w:t xml:space="preserve"> </w:t>
      </w:r>
    </w:p>
    <w:p w14:paraId="3B05F99B" w14:textId="3FFD42C6" w:rsidR="002878DB" w:rsidRPr="00AC0A9D" w:rsidRDefault="002878DB" w:rsidP="00972B91">
      <w:pPr>
        <w:pStyle w:val="PargrafodaLista"/>
        <w:numPr>
          <w:ilvl w:val="0"/>
          <w:numId w:val="8"/>
        </w:numPr>
        <w:spacing w:before="120" w:after="120" w:line="360" w:lineRule="auto"/>
        <w:jc w:val="both"/>
        <w:rPr>
          <w:rFonts w:asciiTheme="majorHAnsi" w:hAnsiTheme="majorHAnsi" w:cstheme="majorHAnsi"/>
        </w:rPr>
      </w:pPr>
      <w:proofErr w:type="spellStart"/>
      <w:r w:rsidRPr="00AC0A9D">
        <w:rPr>
          <w:rFonts w:asciiTheme="majorHAnsi" w:hAnsiTheme="majorHAnsi" w:cstheme="majorHAnsi"/>
          <w:b/>
        </w:rPr>
        <w:t>Organização</w:t>
      </w:r>
      <w:proofErr w:type="spellEnd"/>
      <w:r w:rsidRPr="00AC0A9D">
        <w:rPr>
          <w:rFonts w:asciiTheme="majorHAnsi" w:hAnsiTheme="majorHAnsi" w:cstheme="majorHAnsi"/>
          <w:b/>
        </w:rPr>
        <w:t xml:space="preserve"> </w:t>
      </w:r>
      <w:proofErr w:type="spellStart"/>
      <w:r w:rsidRPr="00AC0A9D">
        <w:rPr>
          <w:rFonts w:asciiTheme="majorHAnsi" w:hAnsiTheme="majorHAnsi" w:cstheme="majorHAnsi"/>
          <w:b/>
        </w:rPr>
        <w:t>Internacional</w:t>
      </w:r>
      <w:proofErr w:type="spellEnd"/>
      <w:r w:rsidRPr="00AC0A9D">
        <w:rPr>
          <w:rFonts w:asciiTheme="majorHAnsi" w:hAnsiTheme="majorHAnsi" w:cstheme="majorHAnsi"/>
          <w:b/>
        </w:rPr>
        <w:t xml:space="preserve"> de Metrologia Legal – OIML</w:t>
      </w:r>
      <w:r w:rsidRPr="00AC0A9D">
        <w:rPr>
          <w:rFonts w:asciiTheme="majorHAnsi" w:hAnsiTheme="majorHAnsi" w:cstheme="majorHAnsi"/>
        </w:rPr>
        <w:t>.</w:t>
      </w:r>
    </w:p>
    <w:p w14:paraId="6F457909" w14:textId="77777777"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Cada um desses grupos possui um sistema organizado internacionalmente com o intuito de manter a harmonização metrológica mundial.</w:t>
      </w:r>
    </w:p>
    <w:p w14:paraId="570EBA0B" w14:textId="1A602CB3" w:rsidR="00D37F14"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Veja como cada um deles é composto:</w:t>
      </w:r>
    </w:p>
    <w:p w14:paraId="62EC1D9E" w14:textId="7EDD1A2F" w:rsidR="002878DB" w:rsidRPr="00A96634" w:rsidRDefault="002878DB" w:rsidP="00972B91">
      <w:pPr>
        <w:pStyle w:val="Ttulo2"/>
        <w:numPr>
          <w:ilvl w:val="1"/>
          <w:numId w:val="9"/>
        </w:numPr>
        <w:tabs>
          <w:tab w:val="left" w:pos="567"/>
        </w:tabs>
        <w:spacing w:before="120" w:beforeAutospacing="0" w:after="120" w:afterAutospacing="0" w:line="360" w:lineRule="auto"/>
        <w:ind w:left="0" w:firstLine="0"/>
        <w:rPr>
          <w:rFonts w:asciiTheme="majorHAnsi" w:hAnsiTheme="majorHAnsi" w:cstheme="majorHAnsi"/>
          <w:szCs w:val="28"/>
          <w:lang w:val="pt-BR"/>
        </w:rPr>
      </w:pPr>
      <w:bookmarkStart w:id="4" w:name="_Toc430880642"/>
      <w:bookmarkStart w:id="5" w:name="_Toc72261119"/>
      <w:r w:rsidRPr="009956BD">
        <w:rPr>
          <w:rStyle w:val="Ttulo2Char"/>
          <w:rFonts w:asciiTheme="majorHAnsi" w:hAnsiTheme="majorHAnsi" w:cstheme="majorHAnsi"/>
          <w:b/>
          <w:szCs w:val="28"/>
        </w:rPr>
        <w:t xml:space="preserve">Metrologia </w:t>
      </w:r>
      <w:r w:rsidRPr="009956BD">
        <w:rPr>
          <w:rStyle w:val="Ttulo2Char"/>
          <w:rFonts w:asciiTheme="majorHAnsi" w:hAnsiTheme="majorHAnsi" w:cstheme="majorHAnsi"/>
          <w:b/>
          <w:szCs w:val="28"/>
          <w:lang w:val="pt-BR"/>
        </w:rPr>
        <w:t>Cient</w:t>
      </w:r>
      <w:r w:rsidR="0024353E" w:rsidRPr="009956BD">
        <w:rPr>
          <w:rStyle w:val="Ttulo2Char"/>
          <w:rFonts w:asciiTheme="majorHAnsi" w:hAnsiTheme="majorHAnsi" w:cstheme="majorHAnsi"/>
          <w:b/>
          <w:szCs w:val="28"/>
          <w:lang w:val="pt-BR"/>
        </w:rPr>
        <w:t>í</w:t>
      </w:r>
      <w:r w:rsidRPr="009956BD">
        <w:rPr>
          <w:rStyle w:val="Ttulo2Char"/>
          <w:rFonts w:asciiTheme="majorHAnsi" w:hAnsiTheme="majorHAnsi" w:cstheme="majorHAnsi"/>
          <w:b/>
          <w:szCs w:val="28"/>
          <w:lang w:val="pt-BR"/>
        </w:rPr>
        <w:t>fica</w:t>
      </w:r>
      <w:r w:rsidRPr="00A96634">
        <w:rPr>
          <w:rStyle w:val="Ttulo2Char"/>
          <w:rFonts w:asciiTheme="majorHAnsi" w:hAnsiTheme="majorHAnsi" w:cstheme="majorHAnsi"/>
          <w:b/>
          <w:szCs w:val="28"/>
        </w:rPr>
        <w:t xml:space="preserve"> e Industrial</w:t>
      </w:r>
      <w:bookmarkEnd w:id="4"/>
      <w:bookmarkEnd w:id="5"/>
    </w:p>
    <w:p w14:paraId="76E49D4C" w14:textId="77777777" w:rsidR="00487ED1" w:rsidRPr="00AC0A9D" w:rsidRDefault="00487ED1" w:rsidP="00972B91">
      <w:pPr>
        <w:spacing w:before="120" w:after="120" w:line="360" w:lineRule="auto"/>
        <w:jc w:val="both"/>
        <w:rPr>
          <w:rFonts w:asciiTheme="majorHAnsi" w:hAnsiTheme="majorHAnsi" w:cstheme="majorHAnsi"/>
        </w:rPr>
      </w:pPr>
      <w:r w:rsidRPr="009956BD">
        <w:rPr>
          <w:rFonts w:asciiTheme="majorHAnsi" w:hAnsiTheme="majorHAnsi" w:cstheme="majorHAnsi"/>
          <w:noProof/>
          <w:lang w:eastAsia="pt-BR"/>
        </w:rPr>
        <w:drawing>
          <wp:anchor distT="0" distB="0" distL="114300" distR="114300" simplePos="0" relativeHeight="251674624" behindDoc="0" locked="0" layoutInCell="1" allowOverlap="1" wp14:anchorId="5616B9D3" wp14:editId="40E3C47F">
            <wp:simplePos x="0" y="0"/>
            <wp:positionH relativeFrom="column">
              <wp:posOffset>-1270</wp:posOffset>
            </wp:positionH>
            <wp:positionV relativeFrom="paragraph">
              <wp:posOffset>635</wp:posOffset>
            </wp:positionV>
            <wp:extent cx="1510665" cy="433705"/>
            <wp:effectExtent l="0" t="0" r="0" b="4445"/>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0665" cy="433705"/>
                    </a:xfrm>
                    <a:prstGeom prst="rect">
                      <a:avLst/>
                    </a:prstGeom>
                  </pic:spPr>
                </pic:pic>
              </a:graphicData>
            </a:graphic>
            <wp14:sizeRelH relativeFrom="page">
              <wp14:pctWidth>0</wp14:pctWidth>
            </wp14:sizeRelH>
            <wp14:sizeRelV relativeFrom="page">
              <wp14:pctHeight>0</wp14:pctHeight>
            </wp14:sizeRelV>
          </wp:anchor>
        </w:drawing>
      </w:r>
      <w:r w:rsidRPr="00AC0A9D">
        <w:rPr>
          <w:rFonts w:asciiTheme="majorHAnsi" w:hAnsiTheme="majorHAnsi" w:cstheme="majorHAnsi"/>
        </w:rPr>
        <w:t>Em 1875 dezessete Países assinaram, em Paris, uma convenção internacional chamada </w:t>
      </w:r>
      <w:r w:rsidRPr="00AC0A9D">
        <w:rPr>
          <w:rFonts w:asciiTheme="majorHAnsi" w:hAnsiTheme="majorHAnsi" w:cstheme="majorHAnsi"/>
          <w:b/>
        </w:rPr>
        <w:t>Convenção do Metro</w:t>
      </w:r>
      <w:r w:rsidRPr="00AC0A9D">
        <w:rPr>
          <w:rFonts w:asciiTheme="majorHAnsi" w:hAnsiTheme="majorHAnsi" w:cstheme="majorHAnsi"/>
        </w:rPr>
        <w:t> com o propósito de estabelecer uma autoridade internacional no campo de </w:t>
      </w:r>
      <w:hyperlink r:id="rId10" w:tooltip="Metrologia" w:history="1">
        <w:r w:rsidRPr="00AC0A9D">
          <w:rPr>
            <w:rFonts w:asciiTheme="majorHAnsi" w:hAnsiTheme="majorHAnsi" w:cstheme="majorHAnsi"/>
            <w:b/>
          </w:rPr>
          <w:t>metrologia</w:t>
        </w:r>
      </w:hyperlink>
      <w:r w:rsidRPr="00AC0A9D">
        <w:rPr>
          <w:rFonts w:asciiTheme="majorHAnsi" w:hAnsiTheme="majorHAnsi" w:cstheme="majorHAnsi"/>
        </w:rPr>
        <w:t xml:space="preserve">. </w:t>
      </w:r>
    </w:p>
    <w:p w14:paraId="17391A6E" w14:textId="21D2C49A" w:rsidR="002878DB" w:rsidRPr="00AC0A9D" w:rsidRDefault="00487ED1" w:rsidP="00972B91">
      <w:pPr>
        <w:spacing w:before="120" w:after="120" w:line="360" w:lineRule="auto"/>
        <w:jc w:val="both"/>
        <w:rPr>
          <w:rFonts w:asciiTheme="majorHAnsi" w:hAnsiTheme="majorHAnsi" w:cstheme="majorHAnsi"/>
        </w:rPr>
      </w:pPr>
      <w:r w:rsidRPr="00AC0A9D">
        <w:rPr>
          <w:rFonts w:asciiTheme="majorHAnsi" w:hAnsiTheme="majorHAnsi" w:cstheme="majorHAnsi"/>
        </w:rPr>
        <w:t xml:space="preserve">A </w:t>
      </w:r>
      <w:r w:rsidR="002878DB" w:rsidRPr="00AC0A9D">
        <w:rPr>
          <w:rFonts w:asciiTheme="majorHAnsi" w:hAnsiTheme="majorHAnsi" w:cstheme="majorHAnsi"/>
        </w:rPr>
        <w:t>Convenção do Metro e a criação de 3 instituições estabeleceram uma estrutura organizacional permanente para os governos membros atuarem em comum acordo sobre todos os assuntos relacionados às unidades de medida.</w:t>
      </w:r>
    </w:p>
    <w:p w14:paraId="168A96E7" w14:textId="769F7FF4"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Essa estrutura é baseada na Conferência Geral de Pesos e Medidas e no Comitê Internacional de Pesos e Medidas</w:t>
      </w:r>
      <w:r w:rsidR="00F75B65" w:rsidRPr="00AC0A9D">
        <w:rPr>
          <w:rFonts w:asciiTheme="majorHAnsi" w:hAnsiTheme="majorHAnsi" w:cstheme="majorHAnsi"/>
        </w:rPr>
        <w:t>, além disto,</w:t>
      </w:r>
      <w:r w:rsidRPr="00AC0A9D">
        <w:rPr>
          <w:rFonts w:asciiTheme="majorHAnsi" w:hAnsiTheme="majorHAnsi" w:cstheme="majorHAnsi"/>
        </w:rPr>
        <w:t xml:space="preserve"> </w:t>
      </w:r>
      <w:r w:rsidR="00F75B65" w:rsidRPr="00AC0A9D">
        <w:rPr>
          <w:rFonts w:asciiTheme="majorHAnsi" w:hAnsiTheme="majorHAnsi" w:cstheme="majorHAnsi"/>
        </w:rPr>
        <w:t xml:space="preserve">conta </w:t>
      </w:r>
      <w:r w:rsidRPr="00AC0A9D">
        <w:rPr>
          <w:rFonts w:asciiTheme="majorHAnsi" w:hAnsiTheme="majorHAnsi" w:cstheme="majorHAnsi"/>
        </w:rPr>
        <w:t xml:space="preserve">com o </w:t>
      </w:r>
      <w:hyperlink r:id="rId11" w:history="1">
        <w:r w:rsidRPr="009101BB">
          <w:rPr>
            <w:rStyle w:val="Hyperlink"/>
            <w:rFonts w:asciiTheme="majorHAnsi" w:hAnsiTheme="majorHAnsi" w:cstheme="majorHAnsi"/>
            <w:color w:val="0066B2" w:themeColor="accent1"/>
          </w:rPr>
          <w:t>Bureau Internacional de Pesos e Medidas</w:t>
        </w:r>
      </w:hyperlink>
      <w:r w:rsidR="00F75B65" w:rsidRPr="00AC0A9D">
        <w:rPr>
          <w:rFonts w:asciiTheme="majorHAnsi" w:hAnsiTheme="majorHAnsi" w:cstheme="majorHAnsi"/>
        </w:rPr>
        <w:t xml:space="preserve"> (BIPM)</w:t>
      </w:r>
      <w:r w:rsidRPr="00AC0A9D">
        <w:rPr>
          <w:rFonts w:asciiTheme="majorHAnsi" w:hAnsiTheme="majorHAnsi" w:cstheme="majorHAnsi"/>
        </w:rPr>
        <w:t>.</w:t>
      </w:r>
    </w:p>
    <w:p w14:paraId="71CB0A5E" w14:textId="648FBB7D" w:rsidR="00F75B65"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Vejamos agora um pouco mais de cada um:</w:t>
      </w:r>
    </w:p>
    <w:p w14:paraId="6F0585AE" w14:textId="7C49F7B7" w:rsidR="002878DB" w:rsidRPr="00AC0A9D" w:rsidRDefault="002878DB" w:rsidP="00972B91">
      <w:pPr>
        <w:pStyle w:val="PargrafodaLista"/>
        <w:numPr>
          <w:ilvl w:val="2"/>
          <w:numId w:val="10"/>
        </w:numPr>
        <w:spacing w:before="120" w:after="120" w:line="360" w:lineRule="auto"/>
        <w:ind w:left="0" w:firstLine="0"/>
        <w:jc w:val="both"/>
        <w:rPr>
          <w:rFonts w:asciiTheme="majorHAnsi" w:hAnsiTheme="majorHAnsi" w:cstheme="majorHAnsi"/>
          <w:b/>
        </w:rPr>
      </w:pPr>
      <w:r w:rsidRPr="009956BD">
        <w:rPr>
          <w:rFonts w:asciiTheme="majorHAnsi" w:hAnsiTheme="majorHAnsi" w:cstheme="majorHAnsi"/>
          <w:noProof/>
          <w:lang w:val="pt-BR" w:eastAsia="pt-BR"/>
        </w:rPr>
        <w:drawing>
          <wp:anchor distT="0" distB="0" distL="114300" distR="114300" simplePos="0" relativeHeight="251660288" behindDoc="0" locked="0" layoutInCell="1" allowOverlap="1" wp14:anchorId="03A6C4BF" wp14:editId="2FD678ED">
            <wp:simplePos x="0" y="0"/>
            <wp:positionH relativeFrom="column">
              <wp:posOffset>-3810</wp:posOffset>
            </wp:positionH>
            <wp:positionV relativeFrom="paragraph">
              <wp:posOffset>277495</wp:posOffset>
            </wp:positionV>
            <wp:extent cx="1771650" cy="1062990"/>
            <wp:effectExtent l="0" t="0" r="0" b="381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71650" cy="1062990"/>
                    </a:xfrm>
                    <a:prstGeom prst="rect">
                      <a:avLst/>
                    </a:prstGeom>
                  </pic:spPr>
                </pic:pic>
              </a:graphicData>
            </a:graphic>
            <wp14:sizeRelH relativeFrom="page">
              <wp14:pctWidth>0</wp14:pctWidth>
            </wp14:sizeRelH>
            <wp14:sizeRelV relativeFrom="page">
              <wp14:pctHeight>0</wp14:pctHeight>
            </wp14:sizeRelV>
          </wp:anchor>
        </w:drawing>
      </w:r>
      <w:r w:rsidR="007202C9" w:rsidRPr="00AC0A9D">
        <w:rPr>
          <w:rFonts w:asciiTheme="majorHAnsi" w:hAnsiTheme="majorHAnsi" w:cstheme="majorHAnsi"/>
          <w:b/>
        </w:rPr>
        <w:t xml:space="preserve"> </w:t>
      </w:r>
      <w:proofErr w:type="spellStart"/>
      <w:r w:rsidRPr="00AC0A9D">
        <w:rPr>
          <w:rFonts w:asciiTheme="majorHAnsi" w:hAnsiTheme="majorHAnsi" w:cstheme="majorHAnsi"/>
          <w:b/>
        </w:rPr>
        <w:t>Conferência</w:t>
      </w:r>
      <w:proofErr w:type="spellEnd"/>
      <w:r w:rsidRPr="00AC0A9D">
        <w:rPr>
          <w:rFonts w:asciiTheme="majorHAnsi" w:hAnsiTheme="majorHAnsi" w:cstheme="majorHAnsi"/>
          <w:b/>
        </w:rPr>
        <w:t xml:space="preserve"> </w:t>
      </w:r>
      <w:proofErr w:type="spellStart"/>
      <w:r w:rsidRPr="00AC0A9D">
        <w:rPr>
          <w:rFonts w:asciiTheme="majorHAnsi" w:hAnsiTheme="majorHAnsi" w:cstheme="majorHAnsi"/>
          <w:b/>
        </w:rPr>
        <w:t>Geral</w:t>
      </w:r>
      <w:proofErr w:type="spellEnd"/>
      <w:r w:rsidRPr="00AC0A9D">
        <w:rPr>
          <w:rFonts w:asciiTheme="majorHAnsi" w:hAnsiTheme="majorHAnsi" w:cstheme="majorHAnsi"/>
          <w:b/>
        </w:rPr>
        <w:t xml:space="preserve"> de Pesos e </w:t>
      </w:r>
      <w:proofErr w:type="spellStart"/>
      <w:r w:rsidRPr="00AC0A9D">
        <w:rPr>
          <w:rFonts w:asciiTheme="majorHAnsi" w:hAnsiTheme="majorHAnsi" w:cstheme="majorHAnsi"/>
          <w:b/>
        </w:rPr>
        <w:t>Medidas</w:t>
      </w:r>
      <w:proofErr w:type="spellEnd"/>
      <w:r w:rsidRPr="00AC0A9D">
        <w:rPr>
          <w:rFonts w:asciiTheme="majorHAnsi" w:hAnsiTheme="majorHAnsi" w:cstheme="majorHAnsi"/>
          <w:b/>
        </w:rPr>
        <w:t xml:space="preserve"> (CGPM) </w:t>
      </w:r>
    </w:p>
    <w:p w14:paraId="41E654C1" w14:textId="409B5812"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Essa Conferência reúne-se de 4 em 4 anos com o objetivo de assegurar a utilização e aperfeiçoamento do Sistema Internacional de Unidades</w:t>
      </w:r>
      <w:r w:rsidR="00773688" w:rsidRPr="00AC0A9D">
        <w:rPr>
          <w:rFonts w:asciiTheme="majorHAnsi" w:hAnsiTheme="majorHAnsi" w:cstheme="majorHAnsi"/>
        </w:rPr>
        <w:t xml:space="preserve"> (SI)</w:t>
      </w:r>
      <w:r w:rsidRPr="00AC0A9D">
        <w:rPr>
          <w:rFonts w:asciiTheme="majorHAnsi" w:hAnsiTheme="majorHAnsi" w:cstheme="majorHAnsi"/>
        </w:rPr>
        <w:t>. Ela é composta por representantes dos países membros da Convenção do Metro.</w:t>
      </w:r>
    </w:p>
    <w:p w14:paraId="3C4E435C" w14:textId="77777777"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 xml:space="preserve">Em 1889, o </w:t>
      </w:r>
      <w:r w:rsidRPr="00AC0A9D">
        <w:rPr>
          <w:rFonts w:asciiTheme="majorHAnsi" w:hAnsiTheme="majorHAnsi" w:cstheme="majorHAnsi"/>
          <w:b/>
        </w:rPr>
        <w:t>CGPM</w:t>
      </w:r>
      <w:r w:rsidRPr="00AC0A9D">
        <w:rPr>
          <w:rFonts w:asciiTheme="majorHAnsi" w:hAnsiTheme="majorHAnsi" w:cstheme="majorHAnsi"/>
        </w:rPr>
        <w:t xml:space="preserve"> reuniu-se pela primeira vez e definiu o protótipo do metro e do quilograma. As conferências seguintes definiram as demais unidades de base utilizadas nas medições", que vimos nas aulas anteriores.</w:t>
      </w:r>
    </w:p>
    <w:p w14:paraId="217AF2B2" w14:textId="79D07365" w:rsidR="002878DB" w:rsidRPr="00AC0A9D" w:rsidRDefault="002878DB" w:rsidP="00972B91">
      <w:pPr>
        <w:pStyle w:val="PargrafodaLista"/>
        <w:numPr>
          <w:ilvl w:val="2"/>
          <w:numId w:val="10"/>
        </w:numPr>
        <w:spacing w:before="120" w:after="120" w:line="360" w:lineRule="auto"/>
        <w:ind w:left="0" w:firstLine="0"/>
        <w:jc w:val="both"/>
        <w:rPr>
          <w:rFonts w:asciiTheme="majorHAnsi" w:hAnsiTheme="majorHAnsi" w:cstheme="majorHAnsi"/>
        </w:rPr>
      </w:pPr>
      <w:r w:rsidRPr="009956BD">
        <w:rPr>
          <w:rFonts w:asciiTheme="majorHAnsi" w:hAnsiTheme="majorHAnsi" w:cstheme="majorHAnsi"/>
          <w:noProof/>
          <w:lang w:val="pt-BR" w:eastAsia="pt-BR"/>
        </w:rPr>
        <w:lastRenderedPageBreak/>
        <w:drawing>
          <wp:anchor distT="0" distB="0" distL="114300" distR="114300" simplePos="0" relativeHeight="251661312" behindDoc="0" locked="0" layoutInCell="1" allowOverlap="1" wp14:anchorId="51E9F603" wp14:editId="791715ED">
            <wp:simplePos x="0" y="0"/>
            <wp:positionH relativeFrom="column">
              <wp:posOffset>-18505</wp:posOffset>
            </wp:positionH>
            <wp:positionV relativeFrom="paragraph">
              <wp:posOffset>421368</wp:posOffset>
            </wp:positionV>
            <wp:extent cx="1819275" cy="1388110"/>
            <wp:effectExtent l="0" t="0" r="9525" b="254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19275" cy="1388110"/>
                    </a:xfrm>
                    <a:prstGeom prst="rect">
                      <a:avLst/>
                    </a:prstGeom>
                  </pic:spPr>
                </pic:pic>
              </a:graphicData>
            </a:graphic>
            <wp14:sizeRelH relativeFrom="page">
              <wp14:pctWidth>0</wp14:pctWidth>
            </wp14:sizeRelH>
            <wp14:sizeRelV relativeFrom="page">
              <wp14:pctHeight>0</wp14:pctHeight>
            </wp14:sizeRelV>
          </wp:anchor>
        </w:drawing>
      </w:r>
      <w:r w:rsidR="007202C9" w:rsidRPr="00AC0A9D">
        <w:rPr>
          <w:rFonts w:asciiTheme="majorHAnsi" w:hAnsiTheme="majorHAnsi" w:cstheme="majorHAnsi"/>
          <w:b/>
        </w:rPr>
        <w:t xml:space="preserve"> </w:t>
      </w:r>
      <w:proofErr w:type="spellStart"/>
      <w:r w:rsidRPr="00AC0A9D">
        <w:rPr>
          <w:rFonts w:asciiTheme="majorHAnsi" w:hAnsiTheme="majorHAnsi" w:cstheme="majorHAnsi"/>
          <w:b/>
        </w:rPr>
        <w:t>Comitê</w:t>
      </w:r>
      <w:proofErr w:type="spellEnd"/>
      <w:r w:rsidRPr="00AC0A9D">
        <w:rPr>
          <w:rFonts w:asciiTheme="majorHAnsi" w:hAnsiTheme="majorHAnsi" w:cstheme="majorHAnsi"/>
          <w:b/>
        </w:rPr>
        <w:t xml:space="preserve"> </w:t>
      </w:r>
      <w:proofErr w:type="spellStart"/>
      <w:r w:rsidRPr="00AC0A9D">
        <w:rPr>
          <w:rFonts w:asciiTheme="majorHAnsi" w:hAnsiTheme="majorHAnsi" w:cstheme="majorHAnsi"/>
          <w:b/>
        </w:rPr>
        <w:t>Internacional</w:t>
      </w:r>
      <w:proofErr w:type="spellEnd"/>
      <w:r w:rsidRPr="00AC0A9D">
        <w:rPr>
          <w:rFonts w:asciiTheme="majorHAnsi" w:hAnsiTheme="majorHAnsi" w:cstheme="majorHAnsi"/>
          <w:b/>
        </w:rPr>
        <w:t xml:space="preserve"> de Pesos e </w:t>
      </w:r>
      <w:proofErr w:type="spellStart"/>
      <w:r w:rsidRPr="00AC0A9D">
        <w:rPr>
          <w:rFonts w:asciiTheme="majorHAnsi" w:hAnsiTheme="majorHAnsi" w:cstheme="majorHAnsi"/>
          <w:b/>
        </w:rPr>
        <w:t>Medidas</w:t>
      </w:r>
      <w:proofErr w:type="spellEnd"/>
      <w:r w:rsidRPr="00AC0A9D">
        <w:rPr>
          <w:rFonts w:asciiTheme="majorHAnsi" w:hAnsiTheme="majorHAnsi" w:cstheme="majorHAnsi"/>
          <w:b/>
        </w:rPr>
        <w:t xml:space="preserve"> (CIPM)</w:t>
      </w:r>
      <w:r w:rsidRPr="00AC0A9D">
        <w:rPr>
          <w:rFonts w:asciiTheme="majorHAnsi" w:hAnsiTheme="majorHAnsi" w:cstheme="majorHAnsi"/>
        </w:rPr>
        <w:t xml:space="preserve"> </w:t>
      </w:r>
    </w:p>
    <w:p w14:paraId="04BD5B14" w14:textId="77777777"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 xml:space="preserve">Esse Comitê atua como autoridade científica internacional. É composto, atualmente, por 18 membros de diferentes países e é ele quem convoca a CGPM e prepara as resoluções que serão submetidas à Conferência Geral. </w:t>
      </w:r>
    </w:p>
    <w:p w14:paraId="6F5BBB85" w14:textId="2DCD1127" w:rsidR="002878DB" w:rsidRPr="00AC0A9D" w:rsidRDefault="002878DB" w:rsidP="00972B91">
      <w:pPr>
        <w:spacing w:before="120" w:after="120" w:line="360" w:lineRule="auto"/>
        <w:jc w:val="both"/>
        <w:rPr>
          <w:rFonts w:asciiTheme="majorHAnsi" w:hAnsiTheme="majorHAnsi" w:cstheme="majorHAnsi"/>
          <w:b/>
        </w:rPr>
      </w:pPr>
    </w:p>
    <w:p w14:paraId="2D35D26E" w14:textId="4CE7F189" w:rsidR="002878DB" w:rsidRPr="00AC0A9D" w:rsidRDefault="002878DB" w:rsidP="00972B91">
      <w:pPr>
        <w:pStyle w:val="PargrafodaLista"/>
        <w:numPr>
          <w:ilvl w:val="2"/>
          <w:numId w:val="10"/>
        </w:numPr>
        <w:spacing w:before="120" w:after="120" w:line="360" w:lineRule="auto"/>
        <w:ind w:left="0" w:firstLine="0"/>
        <w:jc w:val="both"/>
        <w:rPr>
          <w:rFonts w:asciiTheme="majorHAnsi" w:hAnsiTheme="majorHAnsi" w:cstheme="majorHAnsi"/>
        </w:rPr>
      </w:pPr>
      <w:r w:rsidRPr="009956BD">
        <w:rPr>
          <w:rFonts w:asciiTheme="majorHAnsi" w:hAnsiTheme="majorHAnsi" w:cstheme="majorHAnsi"/>
          <w:noProof/>
          <w:lang w:val="pt-BR" w:eastAsia="pt-BR"/>
        </w:rPr>
        <w:drawing>
          <wp:anchor distT="0" distB="0" distL="114300" distR="114300" simplePos="0" relativeHeight="251662336" behindDoc="0" locked="0" layoutInCell="1" allowOverlap="1" wp14:anchorId="5EEA7F14" wp14:editId="5AB91199">
            <wp:simplePos x="0" y="0"/>
            <wp:positionH relativeFrom="column">
              <wp:posOffset>-18506</wp:posOffset>
            </wp:positionH>
            <wp:positionV relativeFrom="paragraph">
              <wp:posOffset>526959</wp:posOffset>
            </wp:positionV>
            <wp:extent cx="1771650" cy="1292860"/>
            <wp:effectExtent l="0" t="0" r="0" b="254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1650" cy="1292860"/>
                    </a:xfrm>
                    <a:prstGeom prst="rect">
                      <a:avLst/>
                    </a:prstGeom>
                  </pic:spPr>
                </pic:pic>
              </a:graphicData>
            </a:graphic>
            <wp14:sizeRelH relativeFrom="page">
              <wp14:pctWidth>0</wp14:pctWidth>
            </wp14:sizeRelH>
            <wp14:sizeRelV relativeFrom="page">
              <wp14:pctHeight>0</wp14:pctHeight>
            </wp14:sizeRelV>
          </wp:anchor>
        </w:drawing>
      </w:r>
      <w:r w:rsidR="007202C9" w:rsidRPr="00AC0A9D">
        <w:rPr>
          <w:rFonts w:asciiTheme="majorHAnsi" w:hAnsiTheme="majorHAnsi" w:cstheme="majorHAnsi"/>
          <w:b/>
        </w:rPr>
        <w:t xml:space="preserve"> </w:t>
      </w:r>
      <w:r w:rsidRPr="00AC0A9D">
        <w:rPr>
          <w:rFonts w:asciiTheme="majorHAnsi" w:hAnsiTheme="majorHAnsi" w:cstheme="majorHAnsi"/>
          <w:b/>
        </w:rPr>
        <w:t xml:space="preserve">Bureau </w:t>
      </w:r>
      <w:proofErr w:type="spellStart"/>
      <w:r w:rsidRPr="00AC0A9D">
        <w:rPr>
          <w:rFonts w:asciiTheme="majorHAnsi" w:hAnsiTheme="majorHAnsi" w:cstheme="majorHAnsi"/>
          <w:b/>
        </w:rPr>
        <w:t>Internacional</w:t>
      </w:r>
      <w:proofErr w:type="spellEnd"/>
      <w:r w:rsidRPr="00AC0A9D">
        <w:rPr>
          <w:rFonts w:asciiTheme="majorHAnsi" w:hAnsiTheme="majorHAnsi" w:cstheme="majorHAnsi"/>
          <w:b/>
        </w:rPr>
        <w:t xml:space="preserve"> de Pesos e </w:t>
      </w:r>
      <w:proofErr w:type="spellStart"/>
      <w:r w:rsidRPr="00AC0A9D">
        <w:rPr>
          <w:rFonts w:asciiTheme="majorHAnsi" w:hAnsiTheme="majorHAnsi" w:cstheme="majorHAnsi"/>
          <w:b/>
        </w:rPr>
        <w:t>Medidas</w:t>
      </w:r>
      <w:proofErr w:type="spellEnd"/>
      <w:r w:rsidRPr="00AC0A9D">
        <w:rPr>
          <w:rFonts w:asciiTheme="majorHAnsi" w:hAnsiTheme="majorHAnsi" w:cstheme="majorHAnsi"/>
          <w:b/>
        </w:rPr>
        <w:t xml:space="preserve"> (BIPM)</w:t>
      </w:r>
      <w:r w:rsidRPr="00AC0A9D">
        <w:rPr>
          <w:rFonts w:asciiTheme="majorHAnsi" w:hAnsiTheme="majorHAnsi" w:cstheme="majorHAnsi"/>
        </w:rPr>
        <w:t xml:space="preserve"> </w:t>
      </w:r>
    </w:p>
    <w:p w14:paraId="04D69C35" w14:textId="77777777"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É um centro internacional mantido com recursos de todos os países membros. Seu trabalho é garantir e promover a comparabilidade global das medições, incluindo o fornecimento de um sistema internacional coerente de unidades para:</w:t>
      </w:r>
    </w:p>
    <w:p w14:paraId="3833535A" w14:textId="77777777" w:rsidR="002878DB" w:rsidRPr="00AC0A9D" w:rsidRDefault="002878DB" w:rsidP="00972B91">
      <w:pPr>
        <w:spacing w:before="120" w:after="120" w:line="360" w:lineRule="auto"/>
        <w:jc w:val="both"/>
        <w:rPr>
          <w:rFonts w:asciiTheme="majorHAnsi" w:hAnsiTheme="majorHAnsi" w:cstheme="majorHAnsi"/>
        </w:rPr>
      </w:pPr>
    </w:p>
    <w:p w14:paraId="24118315" w14:textId="191299A2" w:rsidR="002878DB" w:rsidRPr="00AC0A9D" w:rsidRDefault="002878DB" w:rsidP="00972B91">
      <w:pPr>
        <w:pStyle w:val="PargrafodaLista"/>
        <w:numPr>
          <w:ilvl w:val="0"/>
          <w:numId w:val="1"/>
        </w:numPr>
        <w:spacing w:before="120" w:after="120" w:line="360" w:lineRule="auto"/>
        <w:ind w:left="426" w:hanging="426"/>
        <w:jc w:val="both"/>
        <w:rPr>
          <w:rFonts w:asciiTheme="majorHAnsi" w:hAnsiTheme="majorHAnsi" w:cstheme="majorHAnsi"/>
          <w:lang w:val="pt-BR"/>
        </w:rPr>
      </w:pPr>
      <w:r w:rsidRPr="00AC0A9D">
        <w:rPr>
          <w:rFonts w:asciiTheme="majorHAnsi" w:hAnsiTheme="majorHAnsi" w:cstheme="majorHAnsi"/>
          <w:lang w:val="pt-BR"/>
        </w:rPr>
        <w:t>A descoberta científica e da inovação</w:t>
      </w:r>
    </w:p>
    <w:p w14:paraId="4EDE78DF" w14:textId="1B41E3FB" w:rsidR="002878DB" w:rsidRPr="00AC0A9D" w:rsidRDefault="002878DB" w:rsidP="00972B91">
      <w:pPr>
        <w:pStyle w:val="PargrafodaLista"/>
        <w:numPr>
          <w:ilvl w:val="0"/>
          <w:numId w:val="1"/>
        </w:numPr>
        <w:spacing w:before="120" w:after="120" w:line="360" w:lineRule="auto"/>
        <w:ind w:left="426" w:hanging="426"/>
        <w:jc w:val="both"/>
        <w:rPr>
          <w:rFonts w:asciiTheme="majorHAnsi" w:hAnsiTheme="majorHAnsi" w:cstheme="majorHAnsi"/>
          <w:lang w:val="pt-BR"/>
        </w:rPr>
      </w:pPr>
      <w:r w:rsidRPr="00AC0A9D">
        <w:rPr>
          <w:rFonts w:asciiTheme="majorHAnsi" w:hAnsiTheme="majorHAnsi" w:cstheme="majorHAnsi"/>
          <w:lang w:val="pt-BR"/>
        </w:rPr>
        <w:t>Produção industrial e do comércio internacional</w:t>
      </w:r>
    </w:p>
    <w:p w14:paraId="0C91E649" w14:textId="7842C551" w:rsidR="002878DB" w:rsidRPr="00A55AB6" w:rsidRDefault="002878DB" w:rsidP="00972B91">
      <w:pPr>
        <w:pStyle w:val="PargrafodaLista"/>
        <w:numPr>
          <w:ilvl w:val="0"/>
          <w:numId w:val="1"/>
        </w:numPr>
        <w:spacing w:before="120" w:after="120" w:line="360" w:lineRule="auto"/>
        <w:ind w:left="426" w:hanging="426"/>
        <w:jc w:val="both"/>
        <w:rPr>
          <w:rFonts w:asciiTheme="majorHAnsi" w:hAnsiTheme="majorHAnsi" w:cstheme="majorHAnsi"/>
          <w:lang w:val="pt-BR"/>
        </w:rPr>
      </w:pPr>
      <w:r w:rsidRPr="00AC0A9D">
        <w:rPr>
          <w:rFonts w:asciiTheme="majorHAnsi" w:hAnsiTheme="majorHAnsi" w:cstheme="majorHAnsi"/>
          <w:lang w:val="pt-BR"/>
        </w:rPr>
        <w:t>Manter a qualidade de vida e do meio ambiente global</w:t>
      </w:r>
      <w:r w:rsidRPr="00AC0A9D">
        <w:rPr>
          <w:rFonts w:asciiTheme="majorHAnsi" w:hAnsiTheme="majorHAnsi" w:cstheme="majorHAnsi"/>
          <w:noProof/>
          <w:lang w:val="pt-BR" w:eastAsia="pt-BR"/>
        </w:rPr>
        <w:t xml:space="preserve"> </w:t>
      </w:r>
    </w:p>
    <w:p w14:paraId="5406D5C3" w14:textId="3498A3C5" w:rsidR="00F75B65"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O BIPM é a única instituição com poder para a realização dessas atividades o que permite a ele cumprir sua missão por meio do desenvolvimento da infraestrutura técnica e organizacional do SI.  Essa infraestrutura é utilizada como base para obter a rastreabilidade dos resultados de medição em todo o mundo. Isto é possível tanto por meio das atividades técnicas em seus laboratórios, quanto pela coordenação internacional.</w:t>
      </w:r>
    </w:p>
    <w:p w14:paraId="55FFE64E" w14:textId="77777777" w:rsidR="00773688" w:rsidRPr="00A96634" w:rsidRDefault="00773688" w:rsidP="00A96634">
      <w:pPr>
        <w:spacing w:after="0" w:line="240" w:lineRule="auto"/>
        <w:jc w:val="both"/>
        <w:rPr>
          <w:rFonts w:asciiTheme="majorHAnsi" w:hAnsiTheme="majorHAnsi" w:cstheme="majorHAnsi"/>
          <w:i/>
          <w:color w:val="E1B937" w:themeColor="accent2"/>
        </w:rPr>
      </w:pPr>
      <w:r w:rsidRPr="00A96634">
        <w:rPr>
          <w:rFonts w:asciiTheme="majorHAnsi" w:hAnsiTheme="majorHAnsi" w:cstheme="majorHAnsi"/>
          <w:i/>
          <w:color w:val="E1B937" w:themeColor="accent2"/>
          <w:u w:val="single"/>
        </w:rPr>
        <w:t xml:space="preserve">Segundo o dicionário </w:t>
      </w:r>
      <w:proofErr w:type="spellStart"/>
      <w:r w:rsidRPr="00A96634">
        <w:rPr>
          <w:rFonts w:asciiTheme="majorHAnsi" w:hAnsiTheme="majorHAnsi" w:cstheme="majorHAnsi"/>
          <w:i/>
          <w:color w:val="E1B937" w:themeColor="accent2"/>
          <w:u w:val="single"/>
        </w:rPr>
        <w:t>Aulete</w:t>
      </w:r>
      <w:proofErr w:type="spellEnd"/>
      <w:r w:rsidRPr="00A96634">
        <w:rPr>
          <w:rFonts w:asciiTheme="majorHAnsi" w:hAnsiTheme="majorHAnsi" w:cstheme="majorHAnsi"/>
          <w:i/>
          <w:color w:val="E1B937" w:themeColor="accent2"/>
        </w:rPr>
        <w:t>:</w:t>
      </w:r>
    </w:p>
    <w:p w14:paraId="55331D1F" w14:textId="77777777" w:rsidR="00773688" w:rsidRPr="00A96634" w:rsidRDefault="00773688" w:rsidP="00A96634">
      <w:pPr>
        <w:spacing w:after="0" w:line="240" w:lineRule="auto"/>
        <w:jc w:val="both"/>
        <w:rPr>
          <w:rFonts w:asciiTheme="majorHAnsi" w:hAnsiTheme="majorHAnsi" w:cstheme="majorHAnsi"/>
          <w:b/>
          <w:i/>
          <w:color w:val="E1B937" w:themeColor="accent2"/>
        </w:rPr>
      </w:pPr>
      <w:r w:rsidRPr="00A96634">
        <w:rPr>
          <w:rFonts w:asciiTheme="majorHAnsi" w:hAnsiTheme="majorHAnsi" w:cstheme="majorHAnsi"/>
          <w:b/>
          <w:i/>
          <w:color w:val="E1B937" w:themeColor="accent2"/>
        </w:rPr>
        <w:t>Bureau:</w:t>
      </w:r>
    </w:p>
    <w:p w14:paraId="24F0FF7C" w14:textId="77777777" w:rsidR="00773688" w:rsidRPr="00A96634" w:rsidRDefault="00773688" w:rsidP="00A96634">
      <w:pPr>
        <w:spacing w:after="0" w:line="240" w:lineRule="auto"/>
        <w:jc w:val="both"/>
        <w:rPr>
          <w:rFonts w:asciiTheme="majorHAnsi" w:hAnsiTheme="majorHAnsi" w:cstheme="majorHAnsi"/>
          <w:i/>
          <w:color w:val="E1B937" w:themeColor="accent2"/>
        </w:rPr>
      </w:pPr>
      <w:r w:rsidRPr="00A96634">
        <w:rPr>
          <w:rFonts w:asciiTheme="majorHAnsi" w:hAnsiTheme="majorHAnsi" w:cstheme="majorHAnsi"/>
          <w:i/>
          <w:color w:val="E1B937" w:themeColor="accent2"/>
        </w:rPr>
        <w:t>1. Repartição; departamento (bureau de investigação).</w:t>
      </w:r>
    </w:p>
    <w:p w14:paraId="4C860DFD" w14:textId="77777777" w:rsidR="00773688" w:rsidRPr="00A96634" w:rsidRDefault="00773688" w:rsidP="00A96634">
      <w:pPr>
        <w:spacing w:after="0" w:line="240" w:lineRule="auto"/>
        <w:jc w:val="both"/>
        <w:rPr>
          <w:rFonts w:asciiTheme="majorHAnsi" w:hAnsiTheme="majorHAnsi" w:cstheme="majorHAnsi"/>
          <w:i/>
          <w:color w:val="E1B937" w:themeColor="accent2"/>
        </w:rPr>
      </w:pPr>
      <w:r w:rsidRPr="00A96634">
        <w:rPr>
          <w:rFonts w:asciiTheme="majorHAnsi" w:hAnsiTheme="majorHAnsi" w:cstheme="majorHAnsi"/>
          <w:i/>
          <w:color w:val="E1B937" w:themeColor="accent2"/>
        </w:rPr>
        <w:t>2. Agência, escritório de serviços (bureau de editoração; bureau de moda).</w:t>
      </w:r>
    </w:p>
    <w:p w14:paraId="4DD389DC" w14:textId="77777777" w:rsidR="00773688" w:rsidRPr="00A96634" w:rsidRDefault="00773688" w:rsidP="00A96634">
      <w:pPr>
        <w:spacing w:after="0" w:line="240" w:lineRule="auto"/>
        <w:jc w:val="both"/>
        <w:rPr>
          <w:rFonts w:asciiTheme="majorHAnsi" w:hAnsiTheme="majorHAnsi" w:cstheme="majorHAnsi"/>
          <w:i/>
          <w:color w:val="E1B937" w:themeColor="accent2"/>
        </w:rPr>
      </w:pPr>
      <w:r w:rsidRPr="00A96634">
        <w:rPr>
          <w:rFonts w:asciiTheme="majorHAnsi" w:hAnsiTheme="majorHAnsi" w:cstheme="majorHAnsi"/>
          <w:i/>
          <w:color w:val="E1B937" w:themeColor="accent2"/>
        </w:rPr>
        <w:t xml:space="preserve">3. Tb. </w:t>
      </w:r>
      <w:proofErr w:type="gramStart"/>
      <w:r w:rsidRPr="00A96634">
        <w:rPr>
          <w:rFonts w:asciiTheme="majorHAnsi" w:hAnsiTheme="majorHAnsi" w:cstheme="majorHAnsi"/>
          <w:i/>
          <w:color w:val="E1B937" w:themeColor="accent2"/>
        </w:rPr>
        <w:t>denomina</w:t>
      </w:r>
      <w:proofErr w:type="gramEnd"/>
      <w:r w:rsidRPr="00A96634">
        <w:rPr>
          <w:rFonts w:asciiTheme="majorHAnsi" w:hAnsiTheme="majorHAnsi" w:cstheme="majorHAnsi"/>
          <w:i/>
          <w:color w:val="E1B937" w:themeColor="accent2"/>
        </w:rPr>
        <w:t xml:space="preserve"> móvel de escritório, tipo de escrivaninha com gavetas.</w:t>
      </w:r>
    </w:p>
    <w:p w14:paraId="475CACCA" w14:textId="77777777" w:rsidR="00773688" w:rsidRPr="00A96634" w:rsidRDefault="00773688" w:rsidP="00A96634">
      <w:pPr>
        <w:spacing w:after="0" w:line="240" w:lineRule="auto"/>
        <w:jc w:val="both"/>
        <w:rPr>
          <w:rFonts w:asciiTheme="majorHAnsi" w:hAnsiTheme="majorHAnsi" w:cstheme="majorHAnsi"/>
          <w:i/>
          <w:color w:val="E1B937" w:themeColor="accent2"/>
        </w:rPr>
      </w:pPr>
      <w:r w:rsidRPr="00A96634">
        <w:rPr>
          <w:rFonts w:asciiTheme="majorHAnsi" w:hAnsiTheme="majorHAnsi" w:cstheme="majorHAnsi"/>
          <w:i/>
          <w:color w:val="E1B937" w:themeColor="accent2"/>
        </w:rPr>
        <w:t xml:space="preserve">[Pl.: </w:t>
      </w:r>
      <w:proofErr w:type="spellStart"/>
      <w:r w:rsidRPr="00A96634">
        <w:rPr>
          <w:rFonts w:asciiTheme="majorHAnsi" w:hAnsiTheme="majorHAnsi" w:cstheme="majorHAnsi"/>
          <w:i/>
          <w:color w:val="E1B937" w:themeColor="accent2"/>
        </w:rPr>
        <w:t>bureauxF</w:t>
      </w:r>
      <w:proofErr w:type="spellEnd"/>
      <w:r w:rsidRPr="00A96634">
        <w:rPr>
          <w:rFonts w:asciiTheme="majorHAnsi" w:hAnsiTheme="majorHAnsi" w:cstheme="majorHAnsi"/>
          <w:i/>
          <w:color w:val="E1B937" w:themeColor="accent2"/>
        </w:rPr>
        <w:t xml:space="preserve">. </w:t>
      </w:r>
      <w:proofErr w:type="gramStart"/>
      <w:r w:rsidRPr="00A96634">
        <w:rPr>
          <w:rFonts w:asciiTheme="majorHAnsi" w:hAnsiTheme="majorHAnsi" w:cstheme="majorHAnsi"/>
          <w:i/>
          <w:color w:val="E1B937" w:themeColor="accent2"/>
        </w:rPr>
        <w:t>portuguesada</w:t>
      </w:r>
      <w:proofErr w:type="gramEnd"/>
      <w:r w:rsidRPr="00A96634">
        <w:rPr>
          <w:rFonts w:asciiTheme="majorHAnsi" w:hAnsiTheme="majorHAnsi" w:cstheme="majorHAnsi"/>
          <w:i/>
          <w:color w:val="E1B937" w:themeColor="accent2"/>
        </w:rPr>
        <w:t>: birô.]</w:t>
      </w:r>
    </w:p>
    <w:p w14:paraId="282F7ED6" w14:textId="4A9C15C6" w:rsidR="00773688" w:rsidRPr="00A96634" w:rsidRDefault="00773688" w:rsidP="00A96634">
      <w:pPr>
        <w:spacing w:after="0" w:line="240" w:lineRule="auto"/>
        <w:jc w:val="both"/>
        <w:rPr>
          <w:rFonts w:asciiTheme="majorHAnsi" w:hAnsiTheme="majorHAnsi" w:cstheme="majorHAnsi"/>
          <w:i/>
          <w:color w:val="E1B937" w:themeColor="accent2"/>
        </w:rPr>
      </w:pPr>
      <w:r w:rsidRPr="00A96634">
        <w:rPr>
          <w:rFonts w:asciiTheme="majorHAnsi" w:hAnsiTheme="majorHAnsi" w:cstheme="majorHAnsi"/>
          <w:i/>
          <w:color w:val="E1B937" w:themeColor="accent2"/>
        </w:rPr>
        <w:t xml:space="preserve">[F.: Do fr. bureau; deriv. do fr. ant. </w:t>
      </w:r>
      <w:proofErr w:type="gramStart"/>
      <w:r w:rsidRPr="00A96634">
        <w:rPr>
          <w:rFonts w:asciiTheme="majorHAnsi" w:hAnsiTheme="majorHAnsi" w:cstheme="majorHAnsi"/>
          <w:i/>
          <w:color w:val="E1B937" w:themeColor="accent2"/>
        </w:rPr>
        <w:t>burel.]</w:t>
      </w:r>
      <w:proofErr w:type="gramEnd"/>
    </w:p>
    <w:p w14:paraId="40F4D728" w14:textId="38497069" w:rsidR="0004698C" w:rsidRDefault="00773688" w:rsidP="0004698C">
      <w:pPr>
        <w:spacing w:after="0" w:line="240" w:lineRule="auto"/>
        <w:jc w:val="both"/>
        <w:rPr>
          <w:rFonts w:asciiTheme="majorHAnsi" w:hAnsiTheme="majorHAnsi" w:cstheme="majorHAnsi"/>
          <w:i/>
          <w:color w:val="E1B937" w:themeColor="accent2"/>
        </w:rPr>
      </w:pPr>
      <w:r w:rsidRPr="00A96634">
        <w:rPr>
          <w:rFonts w:asciiTheme="majorHAnsi" w:hAnsiTheme="majorHAnsi" w:cstheme="majorHAnsi"/>
          <w:i/>
          <w:color w:val="E1B937" w:themeColor="accent2"/>
        </w:rPr>
        <w:t xml:space="preserve">Leia mais em:  </w:t>
      </w:r>
      <w:hyperlink r:id="rId15" w:anchor="ixzz3k1J4NErD" w:history="1">
        <w:r w:rsidRPr="0004698C">
          <w:rPr>
            <w:rStyle w:val="Hyperlink"/>
            <w:rFonts w:asciiTheme="majorHAnsi" w:hAnsiTheme="majorHAnsi" w:cstheme="majorHAnsi"/>
            <w:i/>
            <w:color w:val="E1B937" w:themeColor="accent2"/>
          </w:rPr>
          <w:t>http://www.aulete.com.br/bureau#ixzz3k1J4NErD</w:t>
        </w:r>
      </w:hyperlink>
    </w:p>
    <w:p w14:paraId="394A4139" w14:textId="21C497A0" w:rsidR="002878DB" w:rsidRPr="009956BD" w:rsidRDefault="002878DB" w:rsidP="0004698C">
      <w:pPr>
        <w:pStyle w:val="Ttulo2"/>
        <w:numPr>
          <w:ilvl w:val="1"/>
          <w:numId w:val="9"/>
        </w:numPr>
        <w:tabs>
          <w:tab w:val="left" w:pos="567"/>
        </w:tabs>
        <w:spacing w:before="120" w:beforeAutospacing="0" w:after="120" w:afterAutospacing="0" w:line="360" w:lineRule="auto"/>
        <w:ind w:left="0" w:firstLine="0"/>
        <w:rPr>
          <w:rStyle w:val="Ttulo2Char"/>
          <w:rFonts w:asciiTheme="majorHAnsi" w:hAnsiTheme="majorHAnsi" w:cstheme="majorHAnsi"/>
          <w:b/>
          <w:szCs w:val="28"/>
        </w:rPr>
      </w:pPr>
      <w:bookmarkStart w:id="6" w:name="_Toc430880643"/>
      <w:bookmarkStart w:id="7" w:name="_Toc72261120"/>
      <w:proofErr w:type="spellStart"/>
      <w:r w:rsidRPr="0004698C">
        <w:rPr>
          <w:rStyle w:val="Ttulo2Char"/>
          <w:rFonts w:asciiTheme="majorHAnsi" w:hAnsiTheme="majorHAnsi" w:cstheme="majorHAnsi"/>
          <w:b/>
          <w:szCs w:val="28"/>
        </w:rPr>
        <w:t>Organização</w:t>
      </w:r>
      <w:proofErr w:type="spellEnd"/>
      <w:r w:rsidRPr="0004698C">
        <w:rPr>
          <w:rStyle w:val="Ttulo2Char"/>
          <w:rFonts w:asciiTheme="majorHAnsi" w:hAnsiTheme="majorHAnsi" w:cstheme="majorHAnsi"/>
          <w:b/>
          <w:szCs w:val="28"/>
        </w:rPr>
        <w:t xml:space="preserve"> </w:t>
      </w:r>
      <w:proofErr w:type="spellStart"/>
      <w:r w:rsidRPr="0004698C">
        <w:rPr>
          <w:rStyle w:val="Ttulo2Char"/>
          <w:rFonts w:asciiTheme="majorHAnsi" w:hAnsiTheme="majorHAnsi" w:cstheme="majorHAnsi"/>
          <w:b/>
          <w:szCs w:val="28"/>
        </w:rPr>
        <w:t>Internacional</w:t>
      </w:r>
      <w:proofErr w:type="spellEnd"/>
      <w:r w:rsidRPr="0004698C">
        <w:rPr>
          <w:rStyle w:val="Ttulo2Char"/>
          <w:rFonts w:asciiTheme="majorHAnsi" w:hAnsiTheme="majorHAnsi" w:cstheme="majorHAnsi"/>
          <w:b/>
          <w:szCs w:val="28"/>
        </w:rPr>
        <w:t xml:space="preserve"> de Me</w:t>
      </w:r>
      <w:r w:rsidRPr="009956BD">
        <w:rPr>
          <w:rStyle w:val="Ttulo2Char"/>
          <w:rFonts w:asciiTheme="majorHAnsi" w:hAnsiTheme="majorHAnsi" w:cstheme="majorHAnsi"/>
          <w:b/>
          <w:szCs w:val="28"/>
        </w:rPr>
        <w:t>trologia Legal – OIML</w:t>
      </w:r>
      <w:bookmarkEnd w:id="6"/>
      <w:bookmarkEnd w:id="7"/>
    </w:p>
    <w:p w14:paraId="70B4F315" w14:textId="56825C7A" w:rsidR="002878DB" w:rsidRPr="00AC0A9D" w:rsidRDefault="002878DB" w:rsidP="00972B91">
      <w:pPr>
        <w:spacing w:before="120" w:after="120" w:line="360" w:lineRule="auto"/>
        <w:jc w:val="both"/>
        <w:rPr>
          <w:rFonts w:asciiTheme="majorHAnsi" w:hAnsiTheme="majorHAnsi" w:cstheme="majorHAnsi"/>
        </w:rPr>
      </w:pPr>
      <w:r w:rsidRPr="00A96634">
        <w:rPr>
          <w:rFonts w:asciiTheme="majorHAnsi" w:hAnsiTheme="majorHAnsi" w:cstheme="majorHAnsi"/>
          <w:noProof/>
          <w:lang w:eastAsia="pt-BR"/>
        </w:rPr>
        <w:drawing>
          <wp:anchor distT="0" distB="0" distL="114300" distR="114300" simplePos="0" relativeHeight="251659264" behindDoc="0" locked="0" layoutInCell="1" allowOverlap="1" wp14:anchorId="091EAD88" wp14:editId="78F3FA51">
            <wp:simplePos x="0" y="0"/>
            <wp:positionH relativeFrom="column">
              <wp:posOffset>-3175</wp:posOffset>
            </wp:positionH>
            <wp:positionV relativeFrom="paragraph">
              <wp:posOffset>126077</wp:posOffset>
            </wp:positionV>
            <wp:extent cx="1228725" cy="1076325"/>
            <wp:effectExtent l="0" t="0" r="952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28725" cy="1076325"/>
                    </a:xfrm>
                    <a:prstGeom prst="rect">
                      <a:avLst/>
                    </a:prstGeom>
                  </pic:spPr>
                </pic:pic>
              </a:graphicData>
            </a:graphic>
            <wp14:sizeRelH relativeFrom="page">
              <wp14:pctWidth>0</wp14:pctWidth>
            </wp14:sizeRelH>
            <wp14:sizeRelV relativeFrom="page">
              <wp14:pctHeight>0</wp14:pctHeight>
            </wp14:sizeRelV>
          </wp:anchor>
        </w:drawing>
      </w:r>
    </w:p>
    <w:p w14:paraId="68DE627D" w14:textId="77777777"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 xml:space="preserve">A </w:t>
      </w:r>
      <w:hyperlink r:id="rId17" w:history="1">
        <w:r w:rsidRPr="00AC0A9D">
          <w:rPr>
            <w:rStyle w:val="Hyperlink"/>
            <w:rFonts w:asciiTheme="majorHAnsi" w:hAnsiTheme="majorHAnsi" w:cstheme="majorHAnsi"/>
            <w:b/>
            <w:color w:val="0066B2" w:themeColor="accent1"/>
          </w:rPr>
          <w:t>OIML</w:t>
        </w:r>
      </w:hyperlink>
      <w:r w:rsidRPr="00AC0A9D">
        <w:rPr>
          <w:rFonts w:asciiTheme="majorHAnsi" w:hAnsiTheme="majorHAnsi" w:cstheme="majorHAnsi"/>
        </w:rPr>
        <w:t xml:space="preserve"> foi fundada em 1955, com o intuito de promover a harmonização dos procedimentos no âmbito da </w:t>
      </w:r>
      <w:r w:rsidRPr="00AC0A9D">
        <w:rPr>
          <w:rFonts w:asciiTheme="majorHAnsi" w:hAnsiTheme="majorHAnsi" w:cstheme="majorHAnsi"/>
          <w:b/>
        </w:rPr>
        <w:t>metrologia legal</w:t>
      </w:r>
      <w:r w:rsidRPr="00AC0A9D">
        <w:rPr>
          <w:rFonts w:asciiTheme="majorHAnsi" w:hAnsiTheme="majorHAnsi" w:cstheme="majorHAnsi"/>
        </w:rPr>
        <w:t xml:space="preserve">.  </w:t>
      </w:r>
    </w:p>
    <w:p w14:paraId="36754AF9" w14:textId="77777777"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Para cumprir o seu papel a OIML foi estruturada da seguinte maneira:</w:t>
      </w:r>
    </w:p>
    <w:p w14:paraId="4CCA0C12" w14:textId="77777777" w:rsidR="002878DB" w:rsidRPr="00AC0A9D" w:rsidRDefault="002878DB" w:rsidP="00972B91">
      <w:pPr>
        <w:spacing w:before="120" w:after="120" w:line="360" w:lineRule="auto"/>
        <w:jc w:val="both"/>
        <w:rPr>
          <w:rFonts w:asciiTheme="majorHAnsi" w:hAnsiTheme="majorHAnsi" w:cstheme="majorHAnsi"/>
        </w:rPr>
      </w:pPr>
    </w:p>
    <w:p w14:paraId="7E3DF1AA" w14:textId="57AE78FE" w:rsidR="002878DB" w:rsidRPr="00AC0A9D" w:rsidRDefault="002878DB" w:rsidP="00972B91">
      <w:pPr>
        <w:pStyle w:val="PargrafodaLista"/>
        <w:numPr>
          <w:ilvl w:val="2"/>
          <w:numId w:val="11"/>
        </w:numPr>
        <w:spacing w:before="120" w:after="120" w:line="360" w:lineRule="auto"/>
        <w:ind w:left="0" w:firstLine="0"/>
        <w:jc w:val="both"/>
        <w:rPr>
          <w:rFonts w:asciiTheme="majorHAnsi" w:hAnsiTheme="majorHAnsi" w:cstheme="majorHAnsi"/>
        </w:rPr>
      </w:pPr>
      <w:proofErr w:type="spellStart"/>
      <w:r w:rsidRPr="00AC0A9D">
        <w:rPr>
          <w:rFonts w:asciiTheme="majorHAnsi" w:hAnsiTheme="majorHAnsi" w:cstheme="majorHAnsi"/>
          <w:b/>
        </w:rPr>
        <w:lastRenderedPageBreak/>
        <w:t>Conferência</w:t>
      </w:r>
      <w:proofErr w:type="spellEnd"/>
      <w:r w:rsidRPr="00AC0A9D">
        <w:rPr>
          <w:rFonts w:asciiTheme="majorHAnsi" w:hAnsiTheme="majorHAnsi" w:cstheme="majorHAnsi"/>
          <w:b/>
        </w:rPr>
        <w:t xml:space="preserve"> </w:t>
      </w:r>
      <w:proofErr w:type="spellStart"/>
      <w:r w:rsidRPr="00AC0A9D">
        <w:rPr>
          <w:rFonts w:asciiTheme="majorHAnsi" w:hAnsiTheme="majorHAnsi" w:cstheme="majorHAnsi"/>
          <w:b/>
        </w:rPr>
        <w:t>Internacional</w:t>
      </w:r>
      <w:proofErr w:type="spellEnd"/>
      <w:r w:rsidRPr="00AC0A9D">
        <w:rPr>
          <w:rFonts w:asciiTheme="majorHAnsi" w:hAnsiTheme="majorHAnsi" w:cstheme="majorHAnsi"/>
          <w:b/>
        </w:rPr>
        <w:t xml:space="preserve"> de Metrologia Legal</w:t>
      </w:r>
      <w:r w:rsidRPr="00AC0A9D">
        <w:rPr>
          <w:rFonts w:asciiTheme="majorHAnsi" w:hAnsiTheme="majorHAnsi" w:cstheme="majorHAnsi"/>
        </w:rPr>
        <w:t xml:space="preserve"> </w:t>
      </w:r>
    </w:p>
    <w:p w14:paraId="296D12E0" w14:textId="77777777"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 xml:space="preserve">Essa conferência é composta por representantes dos países membros da organização, por países que se unem à OIML como observadores e por associações de instituições internacionais. </w:t>
      </w:r>
    </w:p>
    <w:p w14:paraId="57DE2661" w14:textId="5ECF9368" w:rsidR="002878DB" w:rsidRPr="00A55AB6"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 xml:space="preserve">As reuniões ocorrem a cada 4 anos e visam definir a política geral e promover a implementação das diretrizes metrológicas da OIML. </w:t>
      </w:r>
    </w:p>
    <w:p w14:paraId="0073326E" w14:textId="3912D6C2" w:rsidR="002878DB" w:rsidRPr="00AC0A9D" w:rsidRDefault="002878DB" w:rsidP="00972B91">
      <w:pPr>
        <w:pStyle w:val="PargrafodaLista"/>
        <w:numPr>
          <w:ilvl w:val="2"/>
          <w:numId w:val="11"/>
        </w:numPr>
        <w:spacing w:before="120" w:after="120" w:line="360" w:lineRule="auto"/>
        <w:ind w:left="0" w:firstLine="0"/>
        <w:jc w:val="both"/>
        <w:rPr>
          <w:rFonts w:asciiTheme="majorHAnsi" w:hAnsiTheme="majorHAnsi" w:cstheme="majorHAnsi"/>
          <w:b/>
        </w:rPr>
      </w:pPr>
      <w:proofErr w:type="spellStart"/>
      <w:r w:rsidRPr="00AC0A9D">
        <w:rPr>
          <w:rFonts w:asciiTheme="majorHAnsi" w:hAnsiTheme="majorHAnsi" w:cstheme="majorHAnsi"/>
          <w:b/>
        </w:rPr>
        <w:t>Comitê</w:t>
      </w:r>
      <w:proofErr w:type="spellEnd"/>
      <w:r w:rsidRPr="00AC0A9D">
        <w:rPr>
          <w:rFonts w:asciiTheme="majorHAnsi" w:hAnsiTheme="majorHAnsi" w:cstheme="majorHAnsi"/>
          <w:b/>
        </w:rPr>
        <w:t xml:space="preserve"> </w:t>
      </w:r>
      <w:proofErr w:type="spellStart"/>
      <w:r w:rsidRPr="00AC0A9D">
        <w:rPr>
          <w:rFonts w:asciiTheme="majorHAnsi" w:hAnsiTheme="majorHAnsi" w:cstheme="majorHAnsi"/>
          <w:b/>
        </w:rPr>
        <w:t>Internacional</w:t>
      </w:r>
      <w:proofErr w:type="spellEnd"/>
      <w:r w:rsidRPr="00AC0A9D">
        <w:rPr>
          <w:rFonts w:asciiTheme="majorHAnsi" w:hAnsiTheme="majorHAnsi" w:cstheme="majorHAnsi"/>
          <w:b/>
        </w:rPr>
        <w:t xml:space="preserve"> de </w:t>
      </w:r>
      <w:r w:rsidRPr="00AC0A9D">
        <w:rPr>
          <w:rFonts w:asciiTheme="majorHAnsi" w:hAnsiTheme="majorHAnsi" w:cstheme="majorHAnsi"/>
          <w:b/>
          <w:lang w:val="pt-BR"/>
        </w:rPr>
        <w:t>Metrologia</w:t>
      </w:r>
      <w:r w:rsidRPr="00AC0A9D">
        <w:rPr>
          <w:rFonts w:asciiTheme="majorHAnsi" w:hAnsiTheme="majorHAnsi" w:cstheme="majorHAnsi"/>
          <w:b/>
        </w:rPr>
        <w:t xml:space="preserve"> Legal (CIML)</w:t>
      </w:r>
    </w:p>
    <w:p w14:paraId="7E614B9B" w14:textId="5C56EAA0" w:rsidR="002878DB" w:rsidRPr="00A55AB6"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 xml:space="preserve">Esse comitê realiza reuniões anualmente com o objetivo de avaliar o progresso técnico e as operações administrativas da OIML. </w:t>
      </w:r>
    </w:p>
    <w:p w14:paraId="759E801A" w14:textId="13AAFC88" w:rsidR="002878DB" w:rsidRPr="00AC0A9D" w:rsidRDefault="002878DB" w:rsidP="00972B91">
      <w:pPr>
        <w:pStyle w:val="PargrafodaLista"/>
        <w:numPr>
          <w:ilvl w:val="2"/>
          <w:numId w:val="11"/>
        </w:numPr>
        <w:spacing w:before="120" w:after="120" w:line="360" w:lineRule="auto"/>
        <w:ind w:left="0" w:firstLine="0"/>
        <w:jc w:val="both"/>
        <w:rPr>
          <w:rFonts w:asciiTheme="majorHAnsi" w:hAnsiTheme="majorHAnsi" w:cstheme="majorHAnsi"/>
          <w:b/>
        </w:rPr>
      </w:pPr>
      <w:proofErr w:type="spellStart"/>
      <w:r w:rsidRPr="00AC0A9D">
        <w:rPr>
          <w:rFonts w:asciiTheme="majorHAnsi" w:hAnsiTheme="majorHAnsi" w:cstheme="majorHAnsi"/>
          <w:b/>
        </w:rPr>
        <w:t>Comitês</w:t>
      </w:r>
      <w:proofErr w:type="spellEnd"/>
      <w:r w:rsidRPr="00AC0A9D">
        <w:rPr>
          <w:rFonts w:asciiTheme="majorHAnsi" w:hAnsiTheme="majorHAnsi" w:cstheme="majorHAnsi"/>
          <w:b/>
        </w:rPr>
        <w:t xml:space="preserve"> e </w:t>
      </w:r>
      <w:proofErr w:type="spellStart"/>
      <w:r w:rsidRPr="00AC0A9D">
        <w:rPr>
          <w:rFonts w:asciiTheme="majorHAnsi" w:hAnsiTheme="majorHAnsi" w:cstheme="majorHAnsi"/>
          <w:b/>
        </w:rPr>
        <w:t>Subcomitês</w:t>
      </w:r>
      <w:proofErr w:type="spellEnd"/>
      <w:r w:rsidRPr="00AC0A9D">
        <w:rPr>
          <w:rFonts w:asciiTheme="majorHAnsi" w:hAnsiTheme="majorHAnsi" w:cstheme="majorHAnsi"/>
          <w:b/>
        </w:rPr>
        <w:t xml:space="preserve"> </w:t>
      </w:r>
      <w:proofErr w:type="spellStart"/>
      <w:r w:rsidRPr="00AC0A9D">
        <w:rPr>
          <w:rFonts w:asciiTheme="majorHAnsi" w:hAnsiTheme="majorHAnsi" w:cstheme="majorHAnsi"/>
          <w:b/>
        </w:rPr>
        <w:t>Técnicos</w:t>
      </w:r>
      <w:proofErr w:type="spellEnd"/>
    </w:p>
    <w:p w14:paraId="4EEBF20D" w14:textId="0D73E0E8" w:rsidR="002878DB" w:rsidRPr="00A55AB6"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São compostos por representantes dos países membros da OIML, de organizações internacionais técnicas e de normalização, associações de fabricantes e organismos reguladores regionais</w:t>
      </w:r>
      <w:r w:rsidR="002A276C" w:rsidRPr="00AC0A9D">
        <w:rPr>
          <w:rFonts w:asciiTheme="majorHAnsi" w:hAnsiTheme="majorHAnsi" w:cstheme="majorHAnsi"/>
        </w:rPr>
        <w:t>,</w:t>
      </w:r>
      <w:r w:rsidRPr="00AC0A9D">
        <w:rPr>
          <w:rFonts w:asciiTheme="majorHAnsi" w:hAnsiTheme="majorHAnsi" w:cstheme="majorHAnsi"/>
        </w:rPr>
        <w:t xml:space="preserve"> responsáveis pela obtenção de consensos internacionais na comunidade de metrologia legal. O objetivo desse comitê é estabelecer diretrizes técnicas internacionais para o desempenho metrológico e avaliar os procedimentos de testes dos instrumentos de medição sujeitos a controles legais. </w:t>
      </w:r>
    </w:p>
    <w:p w14:paraId="4CB1CEC3" w14:textId="30C2F5A5" w:rsidR="002878DB" w:rsidRPr="00AC0A9D" w:rsidRDefault="002878DB" w:rsidP="00972B91">
      <w:pPr>
        <w:pStyle w:val="PargrafodaLista"/>
        <w:numPr>
          <w:ilvl w:val="2"/>
          <w:numId w:val="11"/>
        </w:numPr>
        <w:spacing w:before="120" w:after="120" w:line="360" w:lineRule="auto"/>
        <w:ind w:left="0" w:firstLine="0"/>
        <w:jc w:val="both"/>
        <w:rPr>
          <w:rFonts w:asciiTheme="majorHAnsi" w:hAnsiTheme="majorHAnsi" w:cstheme="majorHAnsi"/>
          <w:b/>
        </w:rPr>
      </w:pPr>
      <w:r w:rsidRPr="00AC0A9D">
        <w:rPr>
          <w:rFonts w:asciiTheme="majorHAnsi" w:hAnsiTheme="majorHAnsi" w:cstheme="majorHAnsi"/>
          <w:b/>
        </w:rPr>
        <w:t xml:space="preserve">Bureau </w:t>
      </w:r>
      <w:proofErr w:type="spellStart"/>
      <w:r w:rsidRPr="00AC0A9D">
        <w:rPr>
          <w:rFonts w:asciiTheme="majorHAnsi" w:hAnsiTheme="majorHAnsi" w:cstheme="majorHAnsi"/>
          <w:b/>
        </w:rPr>
        <w:t>Internacional</w:t>
      </w:r>
      <w:proofErr w:type="spellEnd"/>
      <w:r w:rsidRPr="00AC0A9D">
        <w:rPr>
          <w:rFonts w:asciiTheme="majorHAnsi" w:hAnsiTheme="majorHAnsi" w:cstheme="majorHAnsi"/>
          <w:b/>
        </w:rPr>
        <w:t xml:space="preserve"> de Metrologia Legal (BIML)</w:t>
      </w:r>
    </w:p>
    <w:p w14:paraId="696CCE9E" w14:textId="3187E386"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 xml:space="preserve">Atua como secretaria e sede da OIML, trabalhando na coordenação das atividades técnicas e na preparação, impressão e distribuição das publicações da OIML. </w:t>
      </w:r>
    </w:p>
    <w:p w14:paraId="0E3F7DE9" w14:textId="77777777"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 xml:space="preserve"> Em 1991 a Organização Internacional de Metrologia Legal (OIML) criou um sistema de certificação chamado Sistema de Certificado OIML. Esse sistema tem o objetivo de facilitar a realização dos serviços de metrologia legal e aprovar os instrumentos de medição de acordo com as determinações da OIML.</w:t>
      </w:r>
    </w:p>
    <w:p w14:paraId="34CE0672" w14:textId="77777777" w:rsidR="002878DB" w:rsidRPr="00AC0A9D" w:rsidRDefault="002878DB" w:rsidP="00972B91">
      <w:pPr>
        <w:spacing w:before="120" w:after="120" w:line="360" w:lineRule="auto"/>
        <w:jc w:val="both"/>
        <w:rPr>
          <w:rFonts w:asciiTheme="majorHAnsi" w:hAnsiTheme="majorHAnsi" w:cstheme="majorHAnsi"/>
        </w:rPr>
      </w:pPr>
    </w:p>
    <w:p w14:paraId="79AD525A" w14:textId="34DE4385" w:rsidR="007202C9" w:rsidRPr="0004698C" w:rsidRDefault="007202C9" w:rsidP="00A96634">
      <w:pPr>
        <w:pStyle w:val="Ttulo1"/>
        <w:numPr>
          <w:ilvl w:val="0"/>
          <w:numId w:val="6"/>
        </w:numPr>
        <w:tabs>
          <w:tab w:val="left" w:pos="426"/>
        </w:tabs>
        <w:spacing w:before="120" w:after="120"/>
        <w:ind w:left="0" w:hanging="11"/>
        <w:rPr>
          <w:rFonts w:asciiTheme="majorHAnsi" w:hAnsiTheme="majorHAnsi" w:cstheme="majorHAnsi"/>
        </w:rPr>
      </w:pPr>
      <w:bookmarkStart w:id="8" w:name="_Toc72261121"/>
      <w:r w:rsidRPr="0004698C">
        <w:rPr>
          <w:rFonts w:asciiTheme="majorHAnsi" w:hAnsiTheme="majorHAnsi" w:cstheme="majorHAnsi"/>
        </w:rPr>
        <w:t>Sistema Nacional de Metrologia</w:t>
      </w:r>
      <w:bookmarkEnd w:id="8"/>
    </w:p>
    <w:p w14:paraId="60D8C933" w14:textId="77777777" w:rsidR="002A276C"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 xml:space="preserve">Bom, essa é a estrutura metrológica mundial, mas </w:t>
      </w:r>
      <w:proofErr w:type="gramStart"/>
      <w:r w:rsidRPr="00AC0A9D">
        <w:rPr>
          <w:rFonts w:asciiTheme="majorHAnsi" w:hAnsiTheme="majorHAnsi" w:cstheme="majorHAnsi"/>
        </w:rPr>
        <w:t>e</w:t>
      </w:r>
      <w:proofErr w:type="gramEnd"/>
      <w:r w:rsidRPr="00AC0A9D">
        <w:rPr>
          <w:rFonts w:asciiTheme="majorHAnsi" w:hAnsiTheme="majorHAnsi" w:cstheme="majorHAnsi"/>
        </w:rPr>
        <w:t xml:space="preserve"> no Brasil? </w:t>
      </w:r>
    </w:p>
    <w:p w14:paraId="71814E32" w14:textId="7153FD8B"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Você sabe como a metrologia é estruturada nacionalmente?</w:t>
      </w:r>
    </w:p>
    <w:p w14:paraId="08A1C562" w14:textId="77777777"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Vejamos:</w:t>
      </w:r>
    </w:p>
    <w:p w14:paraId="29488FD8" w14:textId="77777777" w:rsidR="002878DB" w:rsidRPr="00AC0A9D" w:rsidRDefault="002878DB" w:rsidP="00972B91">
      <w:pPr>
        <w:spacing w:before="120" w:after="120" w:line="360" w:lineRule="auto"/>
        <w:jc w:val="both"/>
        <w:rPr>
          <w:rFonts w:asciiTheme="majorHAnsi" w:hAnsiTheme="majorHAnsi" w:cstheme="majorHAnsi"/>
          <w:color w:val="666666"/>
          <w:shd w:val="clear" w:color="auto" w:fill="F2F2F2"/>
        </w:rPr>
      </w:pPr>
      <w:r w:rsidRPr="00AC0A9D">
        <w:rPr>
          <w:rFonts w:asciiTheme="majorHAnsi" w:hAnsiTheme="majorHAnsi" w:cstheme="majorHAnsi"/>
        </w:rPr>
        <w:t xml:space="preserve">Devido a necessidade de se criar uma infraestrutura de serviços tecnológicos para atender às necessidades da indústria, do governo e do consumidor, em 11 de dezembro de 1973 a Lei 5966 criou o </w:t>
      </w:r>
      <w:r w:rsidRPr="00AC0A9D">
        <w:rPr>
          <w:rFonts w:asciiTheme="majorHAnsi" w:hAnsiTheme="majorHAnsi" w:cstheme="majorHAnsi"/>
          <w:b/>
        </w:rPr>
        <w:t xml:space="preserve">Sistema Nacional de Metrologia, Normalização e Qualidade Industrial – </w:t>
      </w:r>
      <w:hyperlink r:id="rId18" w:history="1">
        <w:r w:rsidRPr="00AC0A9D">
          <w:rPr>
            <w:rStyle w:val="Hyperlink"/>
            <w:rFonts w:asciiTheme="majorHAnsi" w:hAnsiTheme="majorHAnsi" w:cstheme="majorHAnsi"/>
            <w:b/>
            <w:color w:val="0066B2" w:themeColor="accent1"/>
          </w:rPr>
          <w:t>Sinmetro</w:t>
        </w:r>
      </w:hyperlink>
      <w:r w:rsidRPr="00AC0A9D">
        <w:rPr>
          <w:rFonts w:asciiTheme="majorHAnsi" w:hAnsiTheme="majorHAnsi" w:cstheme="majorHAnsi"/>
        </w:rPr>
        <w:t xml:space="preserve">, com o </w:t>
      </w:r>
      <w:r w:rsidRPr="00AC0A9D">
        <w:rPr>
          <w:rFonts w:asciiTheme="majorHAnsi" w:hAnsiTheme="majorHAnsi" w:cstheme="majorHAnsi"/>
        </w:rPr>
        <w:lastRenderedPageBreak/>
        <w:t>objetivo de coordenar as atividades relacionadas à Metrologia, normalização, qualidade e avalição da conformidade.</w:t>
      </w:r>
    </w:p>
    <w:p w14:paraId="5D334970" w14:textId="77777777"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Entre as áreas de atuação do Sinmetro estão as áreas de:</w:t>
      </w:r>
    </w:p>
    <w:p w14:paraId="139542A7" w14:textId="77777777" w:rsidR="002878DB" w:rsidRPr="00AC0A9D" w:rsidRDefault="002878DB" w:rsidP="00972B91">
      <w:pPr>
        <w:pStyle w:val="PargrafodaLista"/>
        <w:numPr>
          <w:ilvl w:val="0"/>
          <w:numId w:val="3"/>
        </w:numPr>
        <w:spacing w:before="120" w:after="120" w:line="360" w:lineRule="auto"/>
        <w:jc w:val="both"/>
        <w:rPr>
          <w:rFonts w:asciiTheme="majorHAnsi" w:hAnsiTheme="majorHAnsi" w:cstheme="majorHAnsi"/>
          <w:lang w:val="pt-BR"/>
        </w:rPr>
      </w:pPr>
      <w:r w:rsidRPr="00AC0A9D">
        <w:rPr>
          <w:rFonts w:asciiTheme="majorHAnsi" w:hAnsiTheme="majorHAnsi" w:cstheme="majorHAnsi"/>
          <w:lang w:val="pt-BR"/>
        </w:rPr>
        <w:t>Metrologia Científica e Industrial;</w:t>
      </w:r>
    </w:p>
    <w:p w14:paraId="602AC8E6" w14:textId="77777777" w:rsidR="002878DB" w:rsidRPr="00AC0A9D" w:rsidRDefault="002878DB" w:rsidP="00972B91">
      <w:pPr>
        <w:pStyle w:val="PargrafodaLista"/>
        <w:numPr>
          <w:ilvl w:val="0"/>
          <w:numId w:val="3"/>
        </w:numPr>
        <w:spacing w:before="120" w:after="120" w:line="360" w:lineRule="auto"/>
        <w:jc w:val="both"/>
        <w:rPr>
          <w:rFonts w:asciiTheme="majorHAnsi" w:hAnsiTheme="majorHAnsi" w:cstheme="majorHAnsi"/>
          <w:lang w:val="pt-BR"/>
        </w:rPr>
      </w:pPr>
      <w:r w:rsidRPr="00AC0A9D">
        <w:rPr>
          <w:rFonts w:asciiTheme="majorHAnsi" w:hAnsiTheme="majorHAnsi" w:cstheme="majorHAnsi"/>
          <w:lang w:val="pt-BR"/>
        </w:rPr>
        <w:t>Metrologia Legal;</w:t>
      </w:r>
    </w:p>
    <w:p w14:paraId="6469FD4A" w14:textId="77777777" w:rsidR="002878DB" w:rsidRPr="00AC0A9D" w:rsidRDefault="002878DB" w:rsidP="00972B91">
      <w:pPr>
        <w:pStyle w:val="PargrafodaLista"/>
        <w:numPr>
          <w:ilvl w:val="0"/>
          <w:numId w:val="3"/>
        </w:numPr>
        <w:spacing w:before="120" w:after="120" w:line="360" w:lineRule="auto"/>
        <w:jc w:val="both"/>
        <w:rPr>
          <w:rFonts w:asciiTheme="majorHAnsi" w:hAnsiTheme="majorHAnsi" w:cstheme="majorHAnsi"/>
          <w:lang w:val="pt-BR"/>
        </w:rPr>
      </w:pPr>
      <w:proofErr w:type="gramStart"/>
      <w:r w:rsidRPr="00AC0A9D">
        <w:rPr>
          <w:rFonts w:asciiTheme="majorHAnsi" w:hAnsiTheme="majorHAnsi" w:cstheme="majorHAnsi"/>
          <w:lang w:val="pt-BR"/>
        </w:rPr>
        <w:t>Normalização e Regulamentação Técnica</w:t>
      </w:r>
      <w:proofErr w:type="gramEnd"/>
      <w:r w:rsidRPr="00AC0A9D">
        <w:rPr>
          <w:rFonts w:asciiTheme="majorHAnsi" w:hAnsiTheme="majorHAnsi" w:cstheme="majorHAnsi"/>
          <w:lang w:val="pt-BR"/>
        </w:rPr>
        <w:t xml:space="preserve">; </w:t>
      </w:r>
    </w:p>
    <w:p w14:paraId="5126E2A3" w14:textId="77777777" w:rsidR="002878DB" w:rsidRPr="00AC0A9D" w:rsidRDefault="002878DB" w:rsidP="00972B91">
      <w:pPr>
        <w:pStyle w:val="PargrafodaLista"/>
        <w:numPr>
          <w:ilvl w:val="0"/>
          <w:numId w:val="3"/>
        </w:numPr>
        <w:spacing w:before="120" w:after="120" w:line="360" w:lineRule="auto"/>
        <w:jc w:val="both"/>
        <w:rPr>
          <w:rFonts w:asciiTheme="majorHAnsi" w:hAnsiTheme="majorHAnsi" w:cstheme="majorHAnsi"/>
          <w:lang w:val="pt-BR"/>
        </w:rPr>
      </w:pPr>
      <w:r w:rsidRPr="00AC0A9D">
        <w:rPr>
          <w:rFonts w:asciiTheme="majorHAnsi" w:hAnsiTheme="majorHAnsi" w:cstheme="majorHAnsi"/>
          <w:lang w:val="pt-BR"/>
        </w:rPr>
        <w:t>Acreditação;</w:t>
      </w:r>
    </w:p>
    <w:p w14:paraId="5BD1707D" w14:textId="77777777" w:rsidR="002878DB" w:rsidRPr="00AC0A9D" w:rsidRDefault="002878DB" w:rsidP="00972B91">
      <w:pPr>
        <w:pStyle w:val="PargrafodaLista"/>
        <w:numPr>
          <w:ilvl w:val="0"/>
          <w:numId w:val="3"/>
        </w:numPr>
        <w:spacing w:before="120" w:after="120" w:line="360" w:lineRule="auto"/>
        <w:jc w:val="both"/>
        <w:rPr>
          <w:rFonts w:asciiTheme="majorHAnsi" w:hAnsiTheme="majorHAnsi" w:cstheme="majorHAnsi"/>
          <w:lang w:val="pt-BR"/>
        </w:rPr>
      </w:pPr>
      <w:r w:rsidRPr="00AC0A9D">
        <w:rPr>
          <w:rFonts w:asciiTheme="majorHAnsi" w:hAnsiTheme="majorHAnsi" w:cstheme="majorHAnsi"/>
          <w:lang w:val="pt-BR"/>
        </w:rPr>
        <w:t>Certificação;</w:t>
      </w:r>
    </w:p>
    <w:p w14:paraId="0CD54D1F" w14:textId="77777777" w:rsidR="002878DB" w:rsidRPr="00AC0A9D" w:rsidRDefault="002878DB" w:rsidP="00972B91">
      <w:pPr>
        <w:pStyle w:val="PargrafodaLista"/>
        <w:numPr>
          <w:ilvl w:val="0"/>
          <w:numId w:val="3"/>
        </w:numPr>
        <w:spacing w:before="120" w:after="120" w:line="360" w:lineRule="auto"/>
        <w:jc w:val="both"/>
        <w:rPr>
          <w:rFonts w:asciiTheme="majorHAnsi" w:hAnsiTheme="majorHAnsi" w:cstheme="majorHAnsi"/>
          <w:lang w:val="pt-BR"/>
        </w:rPr>
      </w:pPr>
      <w:r w:rsidRPr="00AC0A9D">
        <w:rPr>
          <w:rFonts w:asciiTheme="majorHAnsi" w:hAnsiTheme="majorHAnsi" w:cstheme="majorHAnsi"/>
          <w:lang w:val="pt-BR"/>
        </w:rPr>
        <w:t>Ensaios e Calibrações.</w:t>
      </w:r>
    </w:p>
    <w:p w14:paraId="227E7B4B" w14:textId="45304AD8"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Como instância máxima da Metrologia no país, cabe ao Sinmetro definir as responsabilidades e orientar ações nessas áreas. Essas ações não são implantadas diretamente pelo Sinmetro, elas são desenvolvidas pelos demais órgãos metrológicos do país</w:t>
      </w:r>
      <w:r w:rsidR="002A276C" w:rsidRPr="00AC0A9D">
        <w:rPr>
          <w:rFonts w:asciiTheme="majorHAnsi" w:hAnsiTheme="majorHAnsi" w:cstheme="majorHAnsi"/>
        </w:rPr>
        <w:t>, criando assim</w:t>
      </w:r>
      <w:r w:rsidR="00972B91" w:rsidRPr="00AC0A9D">
        <w:rPr>
          <w:rFonts w:asciiTheme="majorHAnsi" w:hAnsiTheme="majorHAnsi" w:cstheme="majorHAnsi"/>
        </w:rPr>
        <w:t xml:space="preserve"> </w:t>
      </w:r>
      <w:r w:rsidRPr="00AC0A9D">
        <w:rPr>
          <w:rFonts w:asciiTheme="majorHAnsi" w:hAnsiTheme="majorHAnsi" w:cstheme="majorHAnsi"/>
        </w:rPr>
        <w:t>uma estrutura organizada</w:t>
      </w:r>
      <w:r w:rsidR="00F720C0" w:rsidRPr="00AC0A9D">
        <w:rPr>
          <w:rFonts w:asciiTheme="majorHAnsi" w:hAnsiTheme="majorHAnsi" w:cstheme="majorHAnsi"/>
        </w:rPr>
        <w:t xml:space="preserve">, ou seja, </w:t>
      </w:r>
      <w:r w:rsidRPr="00AC0A9D">
        <w:rPr>
          <w:rFonts w:asciiTheme="majorHAnsi" w:hAnsiTheme="majorHAnsi" w:cstheme="majorHAnsi"/>
        </w:rPr>
        <w:t>um conjunto de Organismos que viabilizam suas atividades.</w:t>
      </w:r>
    </w:p>
    <w:p w14:paraId="694CAD6F" w14:textId="49D5C4FD"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 xml:space="preserve">Entre os principais </w:t>
      </w:r>
      <w:r w:rsidR="00F720C0" w:rsidRPr="00AC0A9D">
        <w:rPr>
          <w:rFonts w:asciiTheme="majorHAnsi" w:hAnsiTheme="majorHAnsi" w:cstheme="majorHAnsi"/>
        </w:rPr>
        <w:t xml:space="preserve">órgãos metrológicos do país, </w:t>
      </w:r>
      <w:r w:rsidRPr="00AC0A9D">
        <w:rPr>
          <w:rFonts w:asciiTheme="majorHAnsi" w:hAnsiTheme="majorHAnsi" w:cstheme="majorHAnsi"/>
        </w:rPr>
        <w:t>podemos citar:</w:t>
      </w:r>
    </w:p>
    <w:p w14:paraId="3DA66D37" w14:textId="77777777" w:rsidR="002878DB" w:rsidRPr="00AC0A9D" w:rsidRDefault="002761C5" w:rsidP="00972B91">
      <w:pPr>
        <w:pStyle w:val="PargrafodaLista"/>
        <w:numPr>
          <w:ilvl w:val="0"/>
          <w:numId w:val="3"/>
        </w:numPr>
        <w:spacing w:before="120" w:after="120" w:line="360" w:lineRule="auto"/>
        <w:jc w:val="both"/>
        <w:rPr>
          <w:rFonts w:asciiTheme="majorHAnsi" w:hAnsiTheme="majorHAnsi" w:cstheme="majorHAnsi"/>
          <w:lang w:val="pt-BR"/>
        </w:rPr>
      </w:pPr>
      <w:hyperlink r:id="rId19" w:history="1">
        <w:r w:rsidR="002878DB" w:rsidRPr="00AC0A9D">
          <w:rPr>
            <w:rFonts w:asciiTheme="majorHAnsi" w:hAnsiTheme="majorHAnsi" w:cstheme="majorHAnsi"/>
            <w:lang w:val="pt-BR"/>
          </w:rPr>
          <w:t>Conmetro</w:t>
        </w:r>
      </w:hyperlink>
      <w:r w:rsidR="002878DB" w:rsidRPr="00AC0A9D">
        <w:rPr>
          <w:rFonts w:asciiTheme="majorHAnsi" w:hAnsiTheme="majorHAnsi" w:cstheme="majorHAnsi"/>
          <w:lang w:val="pt-BR"/>
        </w:rPr>
        <w:t xml:space="preserve"> e seus Comitês Técnicos;</w:t>
      </w:r>
    </w:p>
    <w:p w14:paraId="34B8B46B" w14:textId="77777777" w:rsidR="002878DB" w:rsidRPr="00AC0A9D" w:rsidRDefault="002761C5" w:rsidP="00972B91">
      <w:pPr>
        <w:pStyle w:val="PargrafodaLista"/>
        <w:numPr>
          <w:ilvl w:val="0"/>
          <w:numId w:val="3"/>
        </w:numPr>
        <w:spacing w:before="120" w:after="120" w:line="360" w:lineRule="auto"/>
        <w:jc w:val="both"/>
        <w:rPr>
          <w:rFonts w:asciiTheme="majorHAnsi" w:hAnsiTheme="majorHAnsi" w:cstheme="majorHAnsi"/>
          <w:lang w:val="pt-BR"/>
        </w:rPr>
      </w:pPr>
      <w:hyperlink r:id="rId20" w:history="1">
        <w:r w:rsidR="002878DB" w:rsidRPr="00AC0A9D">
          <w:rPr>
            <w:rFonts w:asciiTheme="majorHAnsi" w:hAnsiTheme="majorHAnsi" w:cstheme="majorHAnsi"/>
            <w:lang w:val="pt-BR"/>
          </w:rPr>
          <w:t>Inmetro</w:t>
        </w:r>
      </w:hyperlink>
      <w:r w:rsidR="002878DB" w:rsidRPr="00AC0A9D">
        <w:rPr>
          <w:rFonts w:asciiTheme="majorHAnsi" w:hAnsiTheme="majorHAnsi" w:cstheme="majorHAnsi"/>
          <w:lang w:val="pt-BR"/>
        </w:rPr>
        <w:t>;</w:t>
      </w:r>
    </w:p>
    <w:p w14:paraId="2CEE33C1" w14:textId="77777777" w:rsidR="002878DB" w:rsidRPr="00AC0A9D" w:rsidRDefault="002878DB" w:rsidP="00972B91">
      <w:pPr>
        <w:pStyle w:val="PargrafodaLista"/>
        <w:numPr>
          <w:ilvl w:val="0"/>
          <w:numId w:val="3"/>
        </w:numPr>
        <w:spacing w:before="120" w:after="120" w:line="360" w:lineRule="auto"/>
        <w:jc w:val="both"/>
        <w:rPr>
          <w:rFonts w:asciiTheme="majorHAnsi" w:hAnsiTheme="majorHAnsi" w:cstheme="majorHAnsi"/>
          <w:lang w:val="pt-BR"/>
        </w:rPr>
      </w:pPr>
      <w:r w:rsidRPr="00AC0A9D">
        <w:rPr>
          <w:rFonts w:asciiTheme="majorHAnsi" w:hAnsiTheme="majorHAnsi" w:cstheme="majorHAnsi"/>
          <w:lang w:val="pt-BR"/>
        </w:rPr>
        <w:t>Organismos de Certificação Acreditados;</w:t>
      </w:r>
    </w:p>
    <w:p w14:paraId="49444682" w14:textId="77777777" w:rsidR="002878DB" w:rsidRPr="00AC0A9D" w:rsidRDefault="002878DB" w:rsidP="00972B91">
      <w:pPr>
        <w:pStyle w:val="PargrafodaLista"/>
        <w:numPr>
          <w:ilvl w:val="0"/>
          <w:numId w:val="3"/>
        </w:numPr>
        <w:spacing w:before="120" w:after="120" w:line="360" w:lineRule="auto"/>
        <w:jc w:val="both"/>
        <w:rPr>
          <w:rFonts w:asciiTheme="majorHAnsi" w:hAnsiTheme="majorHAnsi" w:cstheme="majorHAnsi"/>
          <w:lang w:val="pt-BR"/>
        </w:rPr>
      </w:pPr>
      <w:r w:rsidRPr="00AC0A9D">
        <w:rPr>
          <w:rFonts w:asciiTheme="majorHAnsi" w:hAnsiTheme="majorHAnsi" w:cstheme="majorHAnsi"/>
          <w:lang w:val="pt-BR"/>
        </w:rPr>
        <w:t>Organismos de Inspeção Acreditados;</w:t>
      </w:r>
    </w:p>
    <w:p w14:paraId="5B51C96F" w14:textId="77777777" w:rsidR="002878DB" w:rsidRPr="00AC0A9D" w:rsidRDefault="002878DB" w:rsidP="00972B91">
      <w:pPr>
        <w:pStyle w:val="PargrafodaLista"/>
        <w:numPr>
          <w:ilvl w:val="0"/>
          <w:numId w:val="3"/>
        </w:numPr>
        <w:spacing w:before="120" w:after="120" w:line="360" w:lineRule="auto"/>
        <w:jc w:val="both"/>
        <w:rPr>
          <w:rFonts w:asciiTheme="majorHAnsi" w:hAnsiTheme="majorHAnsi" w:cstheme="majorHAnsi"/>
          <w:lang w:val="pt-BR"/>
        </w:rPr>
      </w:pPr>
      <w:proofErr w:type="gramStart"/>
      <w:r w:rsidRPr="00AC0A9D">
        <w:rPr>
          <w:rFonts w:asciiTheme="majorHAnsi" w:hAnsiTheme="majorHAnsi" w:cstheme="majorHAnsi"/>
          <w:lang w:val="pt-BR"/>
        </w:rPr>
        <w:t>Laboratórios Acreditados</w:t>
      </w:r>
      <w:proofErr w:type="gramEnd"/>
      <w:r w:rsidRPr="00AC0A9D">
        <w:rPr>
          <w:rFonts w:asciiTheme="majorHAnsi" w:hAnsiTheme="majorHAnsi" w:cstheme="majorHAnsi"/>
          <w:lang w:val="pt-BR"/>
        </w:rPr>
        <w:t xml:space="preserve"> – para Calibrações: Rede Brasileira de Calibração (RBC) e para Ensaios: Rede Brasileira de Laboratórios de Ensaio (RBLE);</w:t>
      </w:r>
    </w:p>
    <w:p w14:paraId="6BA989DA" w14:textId="77777777" w:rsidR="002878DB" w:rsidRPr="00AC0A9D" w:rsidRDefault="002878DB" w:rsidP="00972B91">
      <w:pPr>
        <w:pStyle w:val="PargrafodaLista"/>
        <w:numPr>
          <w:ilvl w:val="0"/>
          <w:numId w:val="3"/>
        </w:numPr>
        <w:spacing w:before="120" w:after="120" w:line="360" w:lineRule="auto"/>
        <w:jc w:val="both"/>
        <w:rPr>
          <w:rFonts w:asciiTheme="majorHAnsi" w:hAnsiTheme="majorHAnsi" w:cstheme="majorHAnsi"/>
          <w:lang w:val="pt-BR"/>
        </w:rPr>
      </w:pPr>
      <w:r w:rsidRPr="00AC0A9D">
        <w:rPr>
          <w:rFonts w:asciiTheme="majorHAnsi" w:hAnsiTheme="majorHAnsi" w:cstheme="majorHAnsi"/>
          <w:lang w:val="pt-BR"/>
        </w:rPr>
        <w:t>Associação Brasileira de Normas Técnicas – ABNT;</w:t>
      </w:r>
    </w:p>
    <w:p w14:paraId="621A6AED" w14:textId="77777777" w:rsidR="002878DB" w:rsidRPr="00AC0A9D" w:rsidRDefault="002878DB" w:rsidP="00972B91">
      <w:pPr>
        <w:pStyle w:val="PargrafodaLista"/>
        <w:numPr>
          <w:ilvl w:val="0"/>
          <w:numId w:val="3"/>
        </w:numPr>
        <w:spacing w:before="120" w:after="120" w:line="360" w:lineRule="auto"/>
        <w:jc w:val="both"/>
        <w:rPr>
          <w:rFonts w:asciiTheme="majorHAnsi" w:hAnsiTheme="majorHAnsi" w:cstheme="majorHAnsi"/>
          <w:lang w:val="pt-BR"/>
        </w:rPr>
      </w:pPr>
      <w:r w:rsidRPr="00AC0A9D">
        <w:rPr>
          <w:rFonts w:asciiTheme="majorHAnsi" w:hAnsiTheme="majorHAnsi" w:cstheme="majorHAnsi"/>
          <w:lang w:val="pt-BR"/>
        </w:rPr>
        <w:t xml:space="preserve">Institutos Estaduais de Pesos e Medidas – </w:t>
      </w:r>
      <w:proofErr w:type="spellStart"/>
      <w:r w:rsidRPr="00AC0A9D">
        <w:rPr>
          <w:rFonts w:asciiTheme="majorHAnsi" w:hAnsiTheme="majorHAnsi" w:cstheme="majorHAnsi"/>
          <w:lang w:val="pt-BR"/>
        </w:rPr>
        <w:t>IPEMs</w:t>
      </w:r>
      <w:proofErr w:type="spellEnd"/>
      <w:r w:rsidRPr="00AC0A9D">
        <w:rPr>
          <w:rFonts w:asciiTheme="majorHAnsi" w:hAnsiTheme="majorHAnsi" w:cstheme="majorHAnsi"/>
          <w:lang w:val="pt-BR"/>
        </w:rPr>
        <w:t>;</w:t>
      </w:r>
    </w:p>
    <w:p w14:paraId="2A84F452" w14:textId="77777777" w:rsidR="002878DB" w:rsidRPr="00AC0A9D" w:rsidRDefault="002878DB" w:rsidP="00972B91">
      <w:pPr>
        <w:pStyle w:val="PargrafodaLista"/>
        <w:numPr>
          <w:ilvl w:val="0"/>
          <w:numId w:val="3"/>
        </w:numPr>
        <w:spacing w:before="120" w:after="120" w:line="360" w:lineRule="auto"/>
        <w:jc w:val="both"/>
        <w:rPr>
          <w:rFonts w:asciiTheme="majorHAnsi" w:hAnsiTheme="majorHAnsi" w:cstheme="majorHAnsi"/>
          <w:lang w:val="pt-BR"/>
        </w:rPr>
      </w:pPr>
      <w:r w:rsidRPr="00AC0A9D">
        <w:rPr>
          <w:rFonts w:asciiTheme="majorHAnsi" w:hAnsiTheme="majorHAnsi" w:cstheme="majorHAnsi"/>
          <w:lang w:val="pt-BR"/>
        </w:rPr>
        <w:t>Redes Metrológicas Estaduais.</w:t>
      </w:r>
    </w:p>
    <w:p w14:paraId="499DA8AF" w14:textId="77777777" w:rsidR="002878DB" w:rsidRPr="00AC0A9D" w:rsidRDefault="002878DB" w:rsidP="00972B91">
      <w:pPr>
        <w:spacing w:before="120" w:after="120" w:line="360" w:lineRule="auto"/>
        <w:jc w:val="both"/>
        <w:rPr>
          <w:rFonts w:asciiTheme="majorHAnsi" w:hAnsiTheme="majorHAnsi" w:cstheme="majorHAnsi"/>
        </w:rPr>
      </w:pPr>
    </w:p>
    <w:p w14:paraId="405D1292" w14:textId="3CF2C16B" w:rsidR="002878DB" w:rsidRPr="0004698C" w:rsidRDefault="00F720C0" w:rsidP="00972B91">
      <w:pPr>
        <w:spacing w:before="120" w:after="120" w:line="360" w:lineRule="auto"/>
        <w:jc w:val="both"/>
        <w:rPr>
          <w:rFonts w:asciiTheme="majorHAnsi" w:hAnsiTheme="majorHAnsi" w:cstheme="majorHAnsi"/>
        </w:rPr>
      </w:pPr>
      <w:r w:rsidRPr="00AC0A9D">
        <w:rPr>
          <w:rFonts w:asciiTheme="majorHAnsi" w:hAnsiTheme="majorHAnsi" w:cstheme="majorHAnsi"/>
        </w:rPr>
        <w:t>Agora v</w:t>
      </w:r>
      <w:r w:rsidR="002878DB" w:rsidRPr="00AC0A9D">
        <w:rPr>
          <w:rFonts w:asciiTheme="majorHAnsi" w:hAnsiTheme="majorHAnsi" w:cstheme="majorHAnsi"/>
        </w:rPr>
        <w:t xml:space="preserve">amos </w:t>
      </w:r>
      <w:r w:rsidR="002878DB" w:rsidRPr="0004698C">
        <w:rPr>
          <w:rFonts w:asciiTheme="majorHAnsi" w:hAnsiTheme="majorHAnsi" w:cstheme="majorHAnsi"/>
        </w:rPr>
        <w:t>conhecer um pouco mais sobre as áreas de atuação do Sinmetro?</w:t>
      </w:r>
    </w:p>
    <w:p w14:paraId="4D9E5271" w14:textId="77777777" w:rsidR="002878DB" w:rsidRPr="0004698C" w:rsidRDefault="002878DB" w:rsidP="00972B91">
      <w:pPr>
        <w:spacing w:before="120" w:after="120" w:line="360" w:lineRule="auto"/>
        <w:jc w:val="both"/>
        <w:rPr>
          <w:rFonts w:asciiTheme="majorHAnsi" w:hAnsiTheme="majorHAnsi" w:cstheme="majorHAnsi"/>
        </w:rPr>
      </w:pPr>
    </w:p>
    <w:p w14:paraId="22E1983D" w14:textId="77777777" w:rsidR="0004698C" w:rsidRPr="0004698C" w:rsidRDefault="0004698C" w:rsidP="0004698C">
      <w:pPr>
        <w:pStyle w:val="PargrafodaLista"/>
        <w:keepNext/>
        <w:keepLines/>
        <w:numPr>
          <w:ilvl w:val="0"/>
          <w:numId w:val="12"/>
        </w:numPr>
        <w:spacing w:before="120" w:after="120" w:line="360" w:lineRule="auto"/>
        <w:jc w:val="both"/>
        <w:outlineLvl w:val="3"/>
        <w:rPr>
          <w:rFonts w:asciiTheme="majorHAnsi" w:eastAsiaTheme="majorEastAsia" w:hAnsiTheme="majorHAnsi" w:cstheme="majorHAnsi"/>
          <w:b/>
          <w:bCs/>
          <w:iCs/>
          <w:vanish/>
          <w:lang w:val="pt-BR"/>
        </w:rPr>
      </w:pPr>
      <w:bookmarkStart w:id="9" w:name="_Toc430880645"/>
    </w:p>
    <w:p w14:paraId="0A4ADB63" w14:textId="77777777" w:rsidR="0004698C" w:rsidRPr="0004698C" w:rsidRDefault="0004698C" w:rsidP="0004698C">
      <w:pPr>
        <w:pStyle w:val="PargrafodaLista"/>
        <w:keepNext/>
        <w:keepLines/>
        <w:numPr>
          <w:ilvl w:val="0"/>
          <w:numId w:val="12"/>
        </w:numPr>
        <w:spacing w:before="120" w:after="120" w:line="360" w:lineRule="auto"/>
        <w:jc w:val="both"/>
        <w:outlineLvl w:val="3"/>
        <w:rPr>
          <w:rFonts w:asciiTheme="majorHAnsi" w:eastAsiaTheme="majorEastAsia" w:hAnsiTheme="majorHAnsi" w:cstheme="majorHAnsi"/>
          <w:b/>
          <w:bCs/>
          <w:iCs/>
          <w:vanish/>
          <w:lang w:val="pt-BR"/>
        </w:rPr>
      </w:pPr>
    </w:p>
    <w:p w14:paraId="4DCD8600" w14:textId="439A1CAC" w:rsidR="002878DB" w:rsidRPr="0004698C" w:rsidRDefault="002878DB" w:rsidP="0004698C">
      <w:pPr>
        <w:pStyle w:val="Ttulo4"/>
        <w:spacing w:before="120" w:beforeAutospacing="0" w:after="120" w:afterAutospacing="0" w:line="360" w:lineRule="auto"/>
        <w:jc w:val="both"/>
        <w:rPr>
          <w:rFonts w:cstheme="majorHAnsi"/>
          <w:sz w:val="22"/>
          <w:szCs w:val="22"/>
          <w:lang w:val="pt-BR"/>
        </w:rPr>
      </w:pPr>
      <w:r w:rsidRPr="0004698C">
        <w:rPr>
          <w:rFonts w:cstheme="majorHAnsi"/>
          <w:sz w:val="22"/>
          <w:szCs w:val="22"/>
          <w:lang w:val="pt-BR"/>
        </w:rPr>
        <w:t>Metrologia Científica e Industrial</w:t>
      </w:r>
      <w:bookmarkEnd w:id="9"/>
    </w:p>
    <w:p w14:paraId="16FE7758" w14:textId="77777777" w:rsidR="00F720C0" w:rsidRPr="0004698C" w:rsidRDefault="002878DB" w:rsidP="00972B91">
      <w:pPr>
        <w:spacing w:before="120" w:after="120" w:line="360" w:lineRule="auto"/>
        <w:jc w:val="both"/>
        <w:rPr>
          <w:rFonts w:asciiTheme="majorHAnsi" w:hAnsiTheme="majorHAnsi" w:cstheme="majorHAnsi"/>
        </w:rPr>
      </w:pPr>
      <w:r w:rsidRPr="0004698C">
        <w:rPr>
          <w:rFonts w:asciiTheme="majorHAnsi" w:hAnsiTheme="majorHAnsi" w:cstheme="majorHAnsi"/>
          <w:noProof/>
          <w:lang w:eastAsia="pt-BR"/>
        </w:rPr>
        <w:drawing>
          <wp:anchor distT="0" distB="0" distL="114300" distR="114300" simplePos="0" relativeHeight="251665408" behindDoc="0" locked="0" layoutInCell="1" allowOverlap="1" wp14:anchorId="42D6F34E" wp14:editId="4B40D72B">
            <wp:simplePos x="0" y="0"/>
            <wp:positionH relativeFrom="column">
              <wp:posOffset>2540</wp:posOffset>
            </wp:positionH>
            <wp:positionV relativeFrom="paragraph">
              <wp:posOffset>276860</wp:posOffset>
            </wp:positionV>
            <wp:extent cx="2009140" cy="1626870"/>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09140" cy="1626870"/>
                    </a:xfrm>
                    <a:prstGeom prst="rect">
                      <a:avLst/>
                    </a:prstGeom>
                  </pic:spPr>
                </pic:pic>
              </a:graphicData>
            </a:graphic>
            <wp14:sizeRelH relativeFrom="page">
              <wp14:pctWidth>0</wp14:pctWidth>
            </wp14:sizeRelH>
            <wp14:sizeRelV relativeFrom="page">
              <wp14:pctHeight>0</wp14:pctHeight>
            </wp14:sizeRelV>
          </wp:anchor>
        </w:drawing>
      </w:r>
      <w:r w:rsidRPr="0004698C">
        <w:rPr>
          <w:rFonts w:asciiTheme="majorHAnsi" w:hAnsiTheme="majorHAnsi" w:cstheme="majorHAnsi"/>
          <w:noProof/>
          <w:lang w:eastAsia="pt-BR"/>
        </w:rPr>
        <w:t xml:space="preserve"> </w:t>
      </w:r>
      <w:r w:rsidR="00F720C0" w:rsidRPr="0004698C">
        <w:rPr>
          <w:rFonts w:asciiTheme="majorHAnsi" w:hAnsiTheme="majorHAnsi" w:cstheme="majorHAnsi"/>
        </w:rPr>
        <w:t>Junto com a normalização e a regulamentação técnica, a Metrologia Científica é um dos pilares das atividades do Sinmetro.</w:t>
      </w:r>
    </w:p>
    <w:p w14:paraId="7218B91F" w14:textId="05BF249F" w:rsidR="00F720C0" w:rsidRPr="0004698C" w:rsidRDefault="002878DB" w:rsidP="00972B91">
      <w:pPr>
        <w:spacing w:before="120" w:after="120" w:line="360" w:lineRule="auto"/>
        <w:jc w:val="both"/>
        <w:rPr>
          <w:rFonts w:asciiTheme="majorHAnsi" w:hAnsiTheme="majorHAnsi" w:cstheme="majorHAnsi"/>
        </w:rPr>
      </w:pPr>
      <w:r w:rsidRPr="0004698C">
        <w:rPr>
          <w:rFonts w:asciiTheme="majorHAnsi" w:hAnsiTheme="majorHAnsi" w:cstheme="majorHAnsi"/>
        </w:rPr>
        <w:t xml:space="preserve">Na área da metrologia científica e industrial o </w:t>
      </w:r>
      <w:r w:rsidR="00F720C0" w:rsidRPr="0004698C">
        <w:rPr>
          <w:rFonts w:asciiTheme="majorHAnsi" w:hAnsiTheme="majorHAnsi" w:cstheme="majorHAnsi"/>
          <w:b/>
        </w:rPr>
        <w:t xml:space="preserve">Sistema Nacional de Metrologia, Normalização e Qualidade Industrial - </w:t>
      </w:r>
      <w:r w:rsidRPr="0004698C">
        <w:rPr>
          <w:rFonts w:asciiTheme="majorHAnsi" w:hAnsiTheme="majorHAnsi" w:cstheme="majorHAnsi"/>
        </w:rPr>
        <w:t xml:space="preserve">Sinmetro é de grande importância para a ciência e a economia do Brasil, tendo em vista que é o Sistema responsável pelas grandezas metrológicas básicas. Este Sistema transfere para a sociedade padrões de medição com confiabilidade igual à de outros países. Quem coordena essa atividade para o Sinmetro, é o </w:t>
      </w:r>
      <w:r w:rsidRPr="0004698C">
        <w:rPr>
          <w:rFonts w:asciiTheme="majorHAnsi" w:hAnsiTheme="majorHAnsi" w:cstheme="majorHAnsi"/>
          <w:b/>
        </w:rPr>
        <w:t>Inmetro</w:t>
      </w:r>
      <w:r w:rsidRPr="0004698C">
        <w:rPr>
          <w:rFonts w:asciiTheme="majorHAnsi" w:hAnsiTheme="majorHAnsi" w:cstheme="majorHAnsi"/>
        </w:rPr>
        <w:t>.</w:t>
      </w:r>
      <w:r w:rsidR="00F720C0" w:rsidRPr="0004698C">
        <w:rPr>
          <w:rFonts w:asciiTheme="majorHAnsi" w:hAnsiTheme="majorHAnsi" w:cstheme="majorHAnsi"/>
        </w:rPr>
        <w:t xml:space="preserve"> Enfim, chegamos a ele! </w:t>
      </w:r>
    </w:p>
    <w:p w14:paraId="5FA4C97C" w14:textId="68B41F07" w:rsidR="00F720C0" w:rsidRPr="0004698C" w:rsidRDefault="00F720C0" w:rsidP="00972B91">
      <w:pPr>
        <w:spacing w:before="120" w:after="120" w:line="360" w:lineRule="auto"/>
        <w:jc w:val="both"/>
        <w:rPr>
          <w:rFonts w:asciiTheme="majorHAnsi" w:hAnsiTheme="majorHAnsi" w:cstheme="majorHAnsi"/>
        </w:rPr>
      </w:pPr>
      <w:bookmarkStart w:id="10" w:name="_Toc430880646"/>
      <w:r w:rsidRPr="0004698C">
        <w:rPr>
          <w:rFonts w:asciiTheme="majorHAnsi" w:hAnsiTheme="majorHAnsi" w:cstheme="majorHAnsi"/>
        </w:rPr>
        <w:t xml:space="preserve">Então agora vamos falar sobre nosso assunto inicial: O Inmetro! </w:t>
      </w:r>
    </w:p>
    <w:p w14:paraId="15B24360" w14:textId="2911B912" w:rsidR="002878DB" w:rsidRPr="0004698C" w:rsidRDefault="00580828" w:rsidP="0004698C">
      <w:pPr>
        <w:pStyle w:val="Ttulo4"/>
        <w:spacing w:before="120" w:beforeAutospacing="0" w:after="120" w:afterAutospacing="0" w:line="360" w:lineRule="auto"/>
        <w:jc w:val="both"/>
        <w:rPr>
          <w:rFonts w:cstheme="majorHAnsi"/>
          <w:sz w:val="22"/>
          <w:szCs w:val="22"/>
          <w:lang w:val="pt-BR"/>
        </w:rPr>
      </w:pPr>
      <w:r w:rsidRPr="0004698C">
        <w:rPr>
          <w:rFonts w:cstheme="majorHAnsi"/>
          <w:sz w:val="22"/>
          <w:szCs w:val="22"/>
          <w:lang w:val="pt-BR"/>
        </w:rPr>
        <w:t xml:space="preserve">O Inmetro e a </w:t>
      </w:r>
      <w:r w:rsidR="007202C9" w:rsidRPr="0004698C">
        <w:rPr>
          <w:rFonts w:cstheme="majorHAnsi"/>
          <w:sz w:val="22"/>
          <w:szCs w:val="22"/>
          <w:lang w:val="pt-BR"/>
        </w:rPr>
        <w:t>Me</w:t>
      </w:r>
      <w:r w:rsidR="002878DB" w:rsidRPr="0004698C">
        <w:rPr>
          <w:rFonts w:cstheme="majorHAnsi"/>
          <w:sz w:val="22"/>
          <w:szCs w:val="22"/>
          <w:lang w:val="pt-BR"/>
        </w:rPr>
        <w:t>trologia Legal</w:t>
      </w:r>
      <w:bookmarkEnd w:id="10"/>
    </w:p>
    <w:p w14:paraId="72CF6E2C" w14:textId="0A918629" w:rsidR="002878DB" w:rsidRPr="00AC0A9D" w:rsidRDefault="002878DB" w:rsidP="00972B91">
      <w:pPr>
        <w:spacing w:before="120" w:after="120" w:line="360" w:lineRule="auto"/>
        <w:jc w:val="both"/>
        <w:rPr>
          <w:rFonts w:asciiTheme="majorHAnsi" w:hAnsiTheme="majorHAnsi" w:cstheme="majorHAnsi"/>
        </w:rPr>
      </w:pPr>
      <w:r w:rsidRPr="0004698C">
        <w:rPr>
          <w:rFonts w:asciiTheme="majorHAnsi" w:hAnsiTheme="majorHAnsi" w:cstheme="majorHAnsi"/>
        </w:rPr>
        <w:t xml:space="preserve">Considera-se que </w:t>
      </w:r>
      <w:r w:rsidR="00580828" w:rsidRPr="0004698C">
        <w:rPr>
          <w:rFonts w:asciiTheme="majorHAnsi" w:hAnsiTheme="majorHAnsi" w:cstheme="majorHAnsi"/>
        </w:rPr>
        <w:t>a Metrologia Legal</w:t>
      </w:r>
      <w:r w:rsidRPr="0004698C">
        <w:rPr>
          <w:rFonts w:asciiTheme="majorHAnsi" w:hAnsiTheme="majorHAnsi" w:cstheme="majorHAnsi"/>
        </w:rPr>
        <w:t xml:space="preserve"> constitui um dos maiores sistemas de defesa do consumidor conhecidos no Brasil. </w:t>
      </w:r>
      <w:r w:rsidR="00580828" w:rsidRPr="0004698C">
        <w:rPr>
          <w:rFonts w:asciiTheme="majorHAnsi" w:hAnsiTheme="majorHAnsi" w:cstheme="majorHAnsi"/>
        </w:rPr>
        <w:t>É o</w:t>
      </w:r>
      <w:r w:rsidRPr="0004698C">
        <w:rPr>
          <w:rFonts w:asciiTheme="majorHAnsi" w:hAnsiTheme="majorHAnsi" w:cstheme="majorHAnsi"/>
        </w:rPr>
        <w:t xml:space="preserve"> controle metrológico </w:t>
      </w:r>
      <w:r w:rsidR="00580828" w:rsidRPr="0004698C">
        <w:rPr>
          <w:rFonts w:asciiTheme="majorHAnsi" w:hAnsiTheme="majorHAnsi" w:cstheme="majorHAnsi"/>
        </w:rPr>
        <w:t xml:space="preserve">que </w:t>
      </w:r>
      <w:r w:rsidRPr="0004698C">
        <w:rPr>
          <w:rFonts w:asciiTheme="majorHAnsi" w:hAnsiTheme="majorHAnsi" w:cstheme="majorHAnsi"/>
        </w:rPr>
        <w:t>estabelece adequada transparência e confiança com base em ensaios imparciais. A exatidão dos instrumentos de medição garante a credibilidade nas áreas de saúde, segurança</w:t>
      </w:r>
      <w:r w:rsidRPr="00AC0A9D">
        <w:rPr>
          <w:rFonts w:asciiTheme="majorHAnsi" w:hAnsiTheme="majorHAnsi" w:cstheme="majorHAnsi"/>
        </w:rPr>
        <w:t>, meio ambiente e da economia nacional.</w:t>
      </w:r>
      <w:r w:rsidRPr="00AC0A9D" w:rsidDel="00D03694">
        <w:rPr>
          <w:rFonts w:asciiTheme="majorHAnsi" w:hAnsiTheme="majorHAnsi" w:cstheme="majorHAnsi"/>
        </w:rPr>
        <w:t xml:space="preserve"> </w:t>
      </w:r>
    </w:p>
    <w:p w14:paraId="67DB6788" w14:textId="61173239" w:rsidR="00580828" w:rsidRPr="00AC0A9D" w:rsidRDefault="00580828" w:rsidP="00972B91">
      <w:pPr>
        <w:spacing w:before="120" w:after="120" w:line="360" w:lineRule="auto"/>
        <w:jc w:val="both"/>
        <w:rPr>
          <w:rFonts w:asciiTheme="majorHAnsi" w:hAnsiTheme="majorHAnsi" w:cstheme="majorHAnsi"/>
        </w:rPr>
      </w:pPr>
      <w:r w:rsidRPr="00AC0A9D">
        <w:rPr>
          <w:rFonts w:asciiTheme="majorHAnsi" w:hAnsiTheme="majorHAnsi" w:cstheme="majorHAnsi"/>
        </w:rPr>
        <w:t xml:space="preserve">Mas </w:t>
      </w:r>
      <w:proofErr w:type="gramStart"/>
      <w:r w:rsidRPr="00AC0A9D">
        <w:rPr>
          <w:rFonts w:asciiTheme="majorHAnsi" w:hAnsiTheme="majorHAnsi" w:cstheme="majorHAnsi"/>
        </w:rPr>
        <w:t>e</w:t>
      </w:r>
      <w:proofErr w:type="gramEnd"/>
      <w:r w:rsidRPr="00AC0A9D">
        <w:rPr>
          <w:rFonts w:asciiTheme="majorHAnsi" w:hAnsiTheme="majorHAnsi" w:cstheme="majorHAnsi"/>
        </w:rPr>
        <w:t xml:space="preserve"> qual é o papel do Inmetro nesse contexto?</w:t>
      </w:r>
    </w:p>
    <w:p w14:paraId="1AC29173" w14:textId="77777777" w:rsidR="002878DB" w:rsidRPr="00AC0A9D" w:rsidRDefault="002878DB" w:rsidP="00972B91">
      <w:pPr>
        <w:spacing w:before="120" w:after="120" w:line="360" w:lineRule="auto"/>
        <w:jc w:val="both"/>
        <w:rPr>
          <w:rFonts w:asciiTheme="majorHAnsi" w:hAnsiTheme="majorHAnsi" w:cstheme="majorHAnsi"/>
        </w:rPr>
      </w:pPr>
      <w:r w:rsidRPr="009956BD">
        <w:rPr>
          <w:rFonts w:asciiTheme="majorHAnsi" w:hAnsiTheme="majorHAnsi" w:cstheme="majorHAnsi"/>
          <w:noProof/>
          <w:lang w:eastAsia="pt-BR"/>
        </w:rPr>
        <w:drawing>
          <wp:anchor distT="0" distB="0" distL="114300" distR="114300" simplePos="0" relativeHeight="251663360" behindDoc="0" locked="0" layoutInCell="1" allowOverlap="1" wp14:anchorId="118B72AD" wp14:editId="2DBB1976">
            <wp:simplePos x="0" y="0"/>
            <wp:positionH relativeFrom="column">
              <wp:posOffset>5080</wp:posOffset>
            </wp:positionH>
            <wp:positionV relativeFrom="paragraph">
              <wp:posOffset>306705</wp:posOffset>
            </wp:positionV>
            <wp:extent cx="1057910" cy="945515"/>
            <wp:effectExtent l="0" t="0" r="8890" b="698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57910" cy="945515"/>
                    </a:xfrm>
                    <a:prstGeom prst="rect">
                      <a:avLst/>
                    </a:prstGeom>
                  </pic:spPr>
                </pic:pic>
              </a:graphicData>
            </a:graphic>
            <wp14:sizeRelH relativeFrom="page">
              <wp14:pctWidth>0</wp14:pctWidth>
            </wp14:sizeRelH>
            <wp14:sizeRelV relativeFrom="page">
              <wp14:pctHeight>0</wp14:pctHeight>
            </wp14:sizeRelV>
          </wp:anchor>
        </w:drawing>
      </w:r>
      <w:r w:rsidRPr="00AC0A9D">
        <w:rPr>
          <w:rFonts w:asciiTheme="majorHAnsi" w:hAnsiTheme="majorHAnsi" w:cstheme="majorHAnsi"/>
        </w:rPr>
        <w:t xml:space="preserve">O </w:t>
      </w:r>
      <w:r w:rsidRPr="00AC0A9D">
        <w:rPr>
          <w:rFonts w:asciiTheme="majorHAnsi" w:hAnsiTheme="majorHAnsi" w:cstheme="majorHAnsi"/>
          <w:b/>
        </w:rPr>
        <w:t>Inmetro</w:t>
      </w:r>
      <w:r w:rsidRPr="00AC0A9D">
        <w:rPr>
          <w:rFonts w:asciiTheme="majorHAnsi" w:hAnsiTheme="majorHAnsi" w:cstheme="majorHAnsi"/>
        </w:rPr>
        <w:t xml:space="preserve"> atua como coordenador da Rede Brasileira de Metrologia Legal e Qualidade – RBMLQ, constituída pelos Institutos de Pesos e Medidas - </w:t>
      </w:r>
      <w:proofErr w:type="spellStart"/>
      <w:r w:rsidRPr="00AC0A9D">
        <w:rPr>
          <w:rFonts w:asciiTheme="majorHAnsi" w:hAnsiTheme="majorHAnsi" w:cstheme="majorHAnsi"/>
        </w:rPr>
        <w:t>IPEMs</w:t>
      </w:r>
      <w:proofErr w:type="spellEnd"/>
      <w:r w:rsidRPr="00AC0A9D">
        <w:rPr>
          <w:rFonts w:asciiTheme="majorHAnsi" w:hAnsiTheme="majorHAnsi" w:cstheme="majorHAnsi"/>
        </w:rPr>
        <w:t xml:space="preserve"> dos estados brasileiros.  Durante os trabalhos de fiscalização, os órgãos da RBMLQ coletam produtos em estabelecimentos comerciais para avaliar se critérios como peso, volume e especificações técnicas, por exemplo, estão conforme o estabelecido em regulamentos específicos. </w:t>
      </w:r>
    </w:p>
    <w:p w14:paraId="3552A399" w14:textId="77777777"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 xml:space="preserve">As chamadas “não conformidades”, ou seja, quando um produto, processo ou serviço não atende aos requisitos preestabelecidos em norma ou regulamento técnico específico, podem colocar em risco a saúde e segurança do consumidor e do meio ambiente, sem contar o prejuízo financeiro. </w:t>
      </w:r>
    </w:p>
    <w:p w14:paraId="3E5AEE9D" w14:textId="77777777" w:rsidR="002878DB" w:rsidRPr="00AC0A9D" w:rsidRDefault="002878DB" w:rsidP="00972B91">
      <w:pPr>
        <w:spacing w:before="120" w:after="120" w:line="360" w:lineRule="auto"/>
        <w:jc w:val="both"/>
        <w:rPr>
          <w:rFonts w:asciiTheme="majorHAnsi" w:hAnsiTheme="majorHAnsi" w:cstheme="majorHAnsi"/>
        </w:rPr>
      </w:pPr>
      <w:r w:rsidRPr="00AC0A9D">
        <w:rPr>
          <w:rFonts w:asciiTheme="majorHAnsi" w:hAnsiTheme="majorHAnsi" w:cstheme="majorHAnsi"/>
        </w:rPr>
        <w:t>É o Inmetro e sua Rede que verificam e fiscalizam para assegurar, por exemplo, que aquele pacote de 1 kg, que você compra no mercado, tem realmente 1 kg e não 0,9 kg, ou então, se aquele brinquedo que você comprou não colocará em risco a saúde ou segurança da criança que irá manuseá-lo.</w:t>
      </w:r>
    </w:p>
    <w:p w14:paraId="1CE76708" w14:textId="77777777" w:rsidR="00580828" w:rsidRPr="00AC0A9D" w:rsidRDefault="002878DB" w:rsidP="00972B91">
      <w:pPr>
        <w:tabs>
          <w:tab w:val="left" w:pos="0"/>
        </w:tabs>
        <w:spacing w:before="120" w:after="120" w:line="360" w:lineRule="auto"/>
        <w:jc w:val="both"/>
        <w:rPr>
          <w:rFonts w:asciiTheme="majorHAnsi" w:hAnsiTheme="majorHAnsi" w:cstheme="majorHAnsi"/>
        </w:rPr>
      </w:pPr>
      <w:r w:rsidRPr="00AC0A9D">
        <w:rPr>
          <w:rFonts w:asciiTheme="majorHAnsi" w:hAnsiTheme="majorHAnsi" w:cstheme="majorHAnsi"/>
        </w:rPr>
        <w:t xml:space="preserve">Este é um trabalho de utilidade pública que alcança mais de cinco mil municípios brasileiros. </w:t>
      </w:r>
    </w:p>
    <w:p w14:paraId="4A4503B2" w14:textId="51EE9703" w:rsidR="00D37F14" w:rsidRDefault="00580828" w:rsidP="00972B91">
      <w:pPr>
        <w:tabs>
          <w:tab w:val="left" w:pos="0"/>
        </w:tabs>
        <w:spacing w:before="120" w:after="120" w:line="360" w:lineRule="auto"/>
        <w:jc w:val="both"/>
        <w:rPr>
          <w:rFonts w:asciiTheme="majorHAnsi" w:hAnsiTheme="majorHAnsi" w:cstheme="majorHAnsi"/>
        </w:rPr>
      </w:pPr>
      <w:r w:rsidRPr="00AC0A9D">
        <w:rPr>
          <w:rFonts w:asciiTheme="majorHAnsi" w:hAnsiTheme="majorHAnsi" w:cstheme="majorHAnsi"/>
        </w:rPr>
        <w:lastRenderedPageBreak/>
        <w:t>Bom, agora que você já entendeu como a Metrologia é estruturada no Brasil e no mundo, vamos falar sobre outro assunto muito importante: A</w:t>
      </w:r>
      <w:r w:rsidR="00273E0A" w:rsidRPr="00AC0A9D">
        <w:rPr>
          <w:rFonts w:asciiTheme="majorHAnsi" w:hAnsiTheme="majorHAnsi" w:cstheme="majorHAnsi"/>
        </w:rPr>
        <w:t>valiação da Conformidade</w:t>
      </w:r>
      <w:r w:rsidRPr="00AC0A9D">
        <w:rPr>
          <w:rFonts w:asciiTheme="majorHAnsi" w:hAnsiTheme="majorHAnsi" w:cstheme="majorHAnsi"/>
        </w:rPr>
        <w:t>!</w:t>
      </w:r>
    </w:p>
    <w:p w14:paraId="492433EB" w14:textId="77777777" w:rsidR="00A55AB6" w:rsidRPr="00AC0A9D" w:rsidRDefault="00A55AB6" w:rsidP="00972B91">
      <w:pPr>
        <w:tabs>
          <w:tab w:val="left" w:pos="0"/>
        </w:tabs>
        <w:spacing w:before="120" w:after="120" w:line="360" w:lineRule="auto"/>
        <w:jc w:val="both"/>
        <w:rPr>
          <w:rFonts w:asciiTheme="majorHAnsi" w:hAnsiTheme="majorHAnsi" w:cstheme="majorHAnsi"/>
        </w:rPr>
      </w:pPr>
    </w:p>
    <w:p w14:paraId="2BE74E20" w14:textId="7F647C41" w:rsidR="00680EF2" w:rsidRPr="0004698C" w:rsidRDefault="00273E0A" w:rsidP="00972B91">
      <w:pPr>
        <w:pStyle w:val="Ttulo1"/>
        <w:numPr>
          <w:ilvl w:val="0"/>
          <w:numId w:val="6"/>
        </w:numPr>
        <w:tabs>
          <w:tab w:val="left" w:pos="426"/>
        </w:tabs>
        <w:spacing w:before="120" w:after="120"/>
        <w:ind w:left="0" w:hanging="11"/>
        <w:rPr>
          <w:rFonts w:asciiTheme="majorHAnsi" w:hAnsiTheme="majorHAnsi" w:cstheme="majorHAnsi"/>
        </w:rPr>
      </w:pPr>
      <w:bookmarkStart w:id="11" w:name="_Toc72261122"/>
      <w:r w:rsidRPr="0004698C">
        <w:rPr>
          <w:rFonts w:asciiTheme="majorHAnsi" w:hAnsiTheme="majorHAnsi" w:cstheme="majorHAnsi"/>
        </w:rPr>
        <w:t>Avaliação da Conformidade</w:t>
      </w:r>
      <w:bookmarkEnd w:id="11"/>
    </w:p>
    <w:p w14:paraId="01CF6A70" w14:textId="7ACDFD37" w:rsidR="00680EF2" w:rsidRPr="00A96634" w:rsidRDefault="00680EF2">
      <w:pPr>
        <w:pStyle w:val="Corpodetexto"/>
        <w:rPr>
          <w:rFonts w:asciiTheme="majorHAnsi" w:hAnsiTheme="majorHAnsi" w:cstheme="majorHAnsi"/>
          <w:sz w:val="22"/>
          <w:szCs w:val="22"/>
        </w:rPr>
      </w:pPr>
      <w:bookmarkStart w:id="12" w:name="_msoanchor_1"/>
      <w:bookmarkEnd w:id="12"/>
      <w:r w:rsidRPr="00A96634">
        <w:rPr>
          <w:rFonts w:asciiTheme="majorHAnsi" w:hAnsiTheme="majorHAnsi" w:cstheme="majorHAnsi"/>
          <w:sz w:val="22"/>
          <w:szCs w:val="22"/>
        </w:rPr>
        <w:t>Você sabe o que é isso?</w:t>
      </w:r>
    </w:p>
    <w:p w14:paraId="0D330E93"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Avaliação da conformidade é um processo sistematizado, acompanhado e avaliado, que tem o objetivo de propiciar adequado grau de confiança de que um produto, processo ou serviço, ou ainda um profissional. Atende a requisitos preestabelecidos em normas e regulamentos técnicos e tudo isso com o menor custo possível para a sociedade.</w:t>
      </w:r>
    </w:p>
    <w:p w14:paraId="7AC2E69B"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Muito difícil?</w:t>
      </w:r>
    </w:p>
    <w:p w14:paraId="2215CAE7"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Então vamos fazer uma analogia para facilitar seu entendimento:</w:t>
      </w:r>
    </w:p>
    <w:p w14:paraId="3915BB30" w14:textId="6E00D6BD"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noProof/>
          <w:sz w:val="22"/>
          <w:szCs w:val="22"/>
          <w:lang w:eastAsia="pt-BR"/>
        </w:rPr>
        <w:drawing>
          <wp:anchor distT="0" distB="0" distL="114300" distR="114300" simplePos="0" relativeHeight="251679744" behindDoc="0" locked="0" layoutInCell="1" allowOverlap="1" wp14:anchorId="4926BC24" wp14:editId="6E0C964E">
            <wp:simplePos x="0" y="0"/>
            <wp:positionH relativeFrom="column">
              <wp:posOffset>3175</wp:posOffset>
            </wp:positionH>
            <wp:positionV relativeFrom="paragraph">
              <wp:posOffset>144145</wp:posOffset>
            </wp:positionV>
            <wp:extent cx="1945640" cy="1296035"/>
            <wp:effectExtent l="0" t="0" r="0" b="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5640" cy="1296035"/>
                    </a:xfrm>
                    <a:prstGeom prst="rect">
                      <a:avLst/>
                    </a:prstGeom>
                  </pic:spPr>
                </pic:pic>
              </a:graphicData>
            </a:graphic>
            <wp14:sizeRelH relativeFrom="page">
              <wp14:pctWidth>0</wp14:pctWidth>
            </wp14:sizeRelH>
            <wp14:sizeRelV relativeFrom="page">
              <wp14:pctHeight>0</wp14:pctHeight>
            </wp14:sizeRelV>
          </wp:anchor>
        </w:drawing>
      </w:r>
      <w:r w:rsidRPr="00A96634">
        <w:rPr>
          <w:rFonts w:asciiTheme="majorHAnsi" w:hAnsiTheme="majorHAnsi" w:cstheme="majorHAnsi"/>
          <w:sz w:val="22"/>
          <w:szCs w:val="22"/>
        </w:rPr>
        <w:t>Imagine uma confeiteira preparando um bolo...</w:t>
      </w:r>
    </w:p>
    <w:p w14:paraId="11BAEDEB"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 xml:space="preserve">Ela segue uma receita, certo? </w:t>
      </w:r>
    </w:p>
    <w:p w14:paraId="4B45FCCE"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Essa receita foi criada por alguém que testou e aprovou todo o processo de criação desse tipo de bolo e com base nisso, criou uma receita especificando os ingredientes e seu modo de preparo.</w:t>
      </w:r>
    </w:p>
    <w:p w14:paraId="570039A9" w14:textId="79244719" w:rsidR="00680EF2" w:rsidRPr="00A96634" w:rsidRDefault="00680EF2">
      <w:pPr>
        <w:pStyle w:val="Corpodetexto"/>
        <w:rPr>
          <w:rFonts w:asciiTheme="majorHAnsi" w:hAnsiTheme="majorHAnsi" w:cstheme="majorHAnsi"/>
          <w:color w:val="000000" w:themeColor="text1"/>
          <w:sz w:val="22"/>
          <w:szCs w:val="22"/>
        </w:rPr>
      </w:pPr>
      <w:r w:rsidRPr="00A96634">
        <w:rPr>
          <w:rFonts w:asciiTheme="majorHAnsi" w:hAnsiTheme="majorHAnsi" w:cstheme="majorHAnsi"/>
          <w:noProof/>
          <w:sz w:val="22"/>
          <w:szCs w:val="22"/>
          <w:lang w:eastAsia="pt-BR"/>
        </w:rPr>
        <w:drawing>
          <wp:anchor distT="0" distB="0" distL="114300" distR="114300" simplePos="0" relativeHeight="251681792" behindDoc="0" locked="0" layoutInCell="1" allowOverlap="1" wp14:anchorId="73EF1762" wp14:editId="3660FDEB">
            <wp:simplePos x="0" y="0"/>
            <wp:positionH relativeFrom="column">
              <wp:posOffset>3175</wp:posOffset>
            </wp:positionH>
            <wp:positionV relativeFrom="paragraph">
              <wp:posOffset>247650</wp:posOffset>
            </wp:positionV>
            <wp:extent cx="1933575" cy="1446530"/>
            <wp:effectExtent l="0" t="0" r="9525" b="127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3575" cy="1446530"/>
                    </a:xfrm>
                    <a:prstGeom prst="rect">
                      <a:avLst/>
                    </a:prstGeom>
                  </pic:spPr>
                </pic:pic>
              </a:graphicData>
            </a:graphic>
            <wp14:sizeRelH relativeFrom="page">
              <wp14:pctWidth>0</wp14:pctWidth>
            </wp14:sizeRelH>
            <wp14:sizeRelV relativeFrom="page">
              <wp14:pctHeight>0</wp14:pctHeight>
            </wp14:sizeRelV>
          </wp:anchor>
        </w:drawing>
      </w:r>
    </w:p>
    <w:p w14:paraId="3EB0E588"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 xml:space="preserve">Então, para que a confeiteira consiga preparar o bolo conforme o esperado, é necessário colocar todos os ingredientes e seguir passo a passo a receita. </w:t>
      </w:r>
    </w:p>
    <w:p w14:paraId="236263C8" w14:textId="77777777" w:rsidR="00680EF2" w:rsidRPr="00A96634" w:rsidRDefault="00680EF2">
      <w:pPr>
        <w:pStyle w:val="Corpodetexto"/>
        <w:rPr>
          <w:rFonts w:asciiTheme="majorHAnsi" w:hAnsiTheme="majorHAnsi" w:cstheme="majorHAnsi"/>
          <w:sz w:val="22"/>
          <w:szCs w:val="22"/>
        </w:rPr>
      </w:pPr>
    </w:p>
    <w:p w14:paraId="18F24FB2" w14:textId="1226C853" w:rsidR="00680EF2" w:rsidRPr="00FE38BC" w:rsidRDefault="00FE38BC">
      <w:pPr>
        <w:pStyle w:val="Corpodetexto"/>
        <w:rPr>
          <w:rFonts w:asciiTheme="majorHAnsi" w:hAnsiTheme="majorHAnsi" w:cstheme="majorHAnsi"/>
          <w:sz w:val="22"/>
          <w:szCs w:val="22"/>
        </w:rPr>
      </w:pPr>
      <w:r w:rsidRPr="00A96634">
        <w:rPr>
          <w:rFonts w:asciiTheme="majorHAnsi" w:hAnsiTheme="majorHAnsi" w:cstheme="majorHAnsi"/>
          <w:noProof/>
          <w:sz w:val="22"/>
          <w:szCs w:val="22"/>
          <w:lang w:eastAsia="pt-BR"/>
        </w:rPr>
        <w:drawing>
          <wp:anchor distT="0" distB="0" distL="114300" distR="114300" simplePos="0" relativeHeight="251680768" behindDoc="0" locked="0" layoutInCell="1" allowOverlap="1" wp14:anchorId="41F9E8D4" wp14:editId="768AB4F5">
            <wp:simplePos x="0" y="0"/>
            <wp:positionH relativeFrom="margin">
              <wp:align>left</wp:align>
            </wp:positionH>
            <wp:positionV relativeFrom="paragraph">
              <wp:posOffset>958020</wp:posOffset>
            </wp:positionV>
            <wp:extent cx="1869440" cy="1393825"/>
            <wp:effectExtent l="0" t="0" r="0" b="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9440" cy="1393825"/>
                    </a:xfrm>
                    <a:prstGeom prst="rect">
                      <a:avLst/>
                    </a:prstGeom>
                  </pic:spPr>
                </pic:pic>
              </a:graphicData>
            </a:graphic>
            <wp14:sizeRelH relativeFrom="page">
              <wp14:pctWidth>0</wp14:pctWidth>
            </wp14:sizeRelH>
            <wp14:sizeRelV relativeFrom="page">
              <wp14:pctHeight>0</wp14:pctHeight>
            </wp14:sizeRelV>
          </wp:anchor>
        </w:drawing>
      </w:r>
      <w:r w:rsidR="00680EF2" w:rsidRPr="00A96634">
        <w:rPr>
          <w:rFonts w:asciiTheme="majorHAnsi" w:hAnsiTheme="majorHAnsi" w:cstheme="majorHAnsi"/>
          <w:sz w:val="22"/>
          <w:szCs w:val="22"/>
        </w:rPr>
        <w:t xml:space="preserve">Mas tem </w:t>
      </w:r>
      <w:proofErr w:type="gramStart"/>
      <w:r w:rsidR="00680EF2" w:rsidRPr="00A96634">
        <w:rPr>
          <w:rFonts w:asciiTheme="majorHAnsi" w:hAnsiTheme="majorHAnsi" w:cstheme="majorHAnsi"/>
          <w:sz w:val="22"/>
          <w:szCs w:val="22"/>
        </w:rPr>
        <w:t>um</w:t>
      </w:r>
      <w:proofErr w:type="gramEnd"/>
      <w:r w:rsidR="00680EF2" w:rsidRPr="00A96634">
        <w:rPr>
          <w:rFonts w:asciiTheme="majorHAnsi" w:hAnsiTheme="majorHAnsi" w:cstheme="majorHAnsi"/>
          <w:sz w:val="22"/>
          <w:szCs w:val="22"/>
        </w:rPr>
        <w:t xml:space="preserve"> porém... Sabemos que mesmo seguindo esses procedimentos se colocarmos confeiteiros diferentes preparando o mesmo tipo de bolo, com seguindo a mesma receita, cada bolo terá seu próprio sabor, alguns com maior ou menor “qualidade”.</w:t>
      </w:r>
    </w:p>
    <w:p w14:paraId="22E829EC" w14:textId="78593A84"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Um forno especial, uma forma adequada, ingredientes selecionados, até o cuidado do confeiteiro na hora de desenformar, podem fazer toda a diferença.</w:t>
      </w:r>
    </w:p>
    <w:p w14:paraId="3F9CF66F" w14:textId="1BBE9272"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 xml:space="preserve">Para preparar esse bolo, você pode usar uma farinha de trigo comum, ou usar uma farinha selecionada. Os dois são o </w:t>
      </w:r>
      <w:r w:rsidRPr="00A96634">
        <w:rPr>
          <w:rFonts w:asciiTheme="majorHAnsi" w:hAnsiTheme="majorHAnsi" w:cstheme="majorHAnsi"/>
          <w:sz w:val="22"/>
          <w:szCs w:val="22"/>
        </w:rPr>
        <w:lastRenderedPageBreak/>
        <w:t>mesmo tipo de produto, contudo a farinha selecionada tende a ter maior qualidade, já que é produzida em condições especiais. Esses fatores tenderão a aumentar a qualidade e o sabor desse bolo e consequentemente elevarão seu valor, caso seja comercializado.</w:t>
      </w:r>
    </w:p>
    <w:p w14:paraId="03A6E6E8" w14:textId="5B6A9903"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Seguir a receita não garante a qualidade do bolo, garante apenas que seu preparo atendeu a padrões mínimos aceitáveis para o ser considerado "conforme" o especificado na receita. </w:t>
      </w:r>
    </w:p>
    <w:p w14:paraId="34F4F8F2" w14:textId="237CDE09" w:rsidR="00680EF2" w:rsidRPr="00A96634" w:rsidRDefault="008767C0">
      <w:pPr>
        <w:pStyle w:val="Corpodetexto"/>
        <w:rPr>
          <w:rFonts w:asciiTheme="majorHAnsi" w:hAnsiTheme="majorHAnsi" w:cstheme="majorHAnsi"/>
          <w:sz w:val="22"/>
          <w:szCs w:val="22"/>
        </w:rPr>
      </w:pPr>
      <w:r w:rsidRPr="00A96634">
        <w:rPr>
          <w:rFonts w:asciiTheme="majorHAnsi" w:hAnsiTheme="majorHAnsi" w:cstheme="majorHAnsi"/>
          <w:noProof/>
          <w:sz w:val="22"/>
          <w:szCs w:val="22"/>
          <w:lang w:eastAsia="pt-BR"/>
        </w:rPr>
        <w:drawing>
          <wp:anchor distT="0" distB="0" distL="114300" distR="114300" simplePos="0" relativeHeight="251695104" behindDoc="0" locked="0" layoutInCell="1" allowOverlap="1" wp14:anchorId="7D4DE8A3" wp14:editId="15698DEF">
            <wp:simplePos x="0" y="0"/>
            <wp:positionH relativeFrom="margin">
              <wp:posOffset>-10275</wp:posOffset>
            </wp:positionH>
            <wp:positionV relativeFrom="paragraph">
              <wp:posOffset>363562</wp:posOffset>
            </wp:positionV>
            <wp:extent cx="1964690" cy="1481455"/>
            <wp:effectExtent l="0" t="0" r="0" b="4445"/>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4690" cy="1481455"/>
                    </a:xfrm>
                    <a:prstGeom prst="rect">
                      <a:avLst/>
                    </a:prstGeom>
                  </pic:spPr>
                </pic:pic>
              </a:graphicData>
            </a:graphic>
            <wp14:sizeRelH relativeFrom="page">
              <wp14:pctWidth>0</wp14:pctWidth>
            </wp14:sizeRelH>
            <wp14:sizeRelV relativeFrom="page">
              <wp14:pctHeight>0</wp14:pctHeight>
            </wp14:sizeRelV>
          </wp:anchor>
        </w:drawing>
      </w:r>
      <w:r w:rsidR="00680EF2" w:rsidRPr="00A96634">
        <w:rPr>
          <w:rFonts w:asciiTheme="majorHAnsi" w:hAnsiTheme="majorHAnsi" w:cstheme="majorHAnsi"/>
          <w:sz w:val="22"/>
          <w:szCs w:val="22"/>
        </w:rPr>
        <w:t>A avaliação da conformidade funciona de forma semelhante.</w:t>
      </w:r>
    </w:p>
    <w:p w14:paraId="34FF2B44"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A receita funciona como um regulamento, ou uma norma técnica. Se fôssemos avaliar a conformidade do desse bolo, analisaríamos se ele foi produzido conforme o especificado na receita.  Iríamos avaliar se os ingredientes foram utilizados na medida certa, se a forma de preparo foi realizada corretamente, se o tempo de cozimento foi suficiente para cozinhar o bolo e assim por diante.</w:t>
      </w:r>
    </w:p>
    <w:p w14:paraId="3C2B90E4"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Se todos os requisitos especificados na receita tiverem sido cumpridos, então o bolo estará com sua conformidade avaliada e aprovada de acordo com os padrões mínimos aceitáveis.</w:t>
      </w:r>
    </w:p>
    <w:p w14:paraId="6E6255B7"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Avaliar a conformidade de algo, não significa avaliar sua qualidade e sim, se esse algo atende a requisitos preestabelecidos. A qualidade do bolo é responsabilidade do confeiteiro, não é verdade?</w:t>
      </w:r>
    </w:p>
    <w:p w14:paraId="4D7F33FB"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Um produto com conformidade avaliada e aprovada, é um produto que está conforme a norma ou o regulamento técnico aplicável. </w:t>
      </w:r>
    </w:p>
    <w:p w14:paraId="23FA109B"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O importante é que não se pode comparar produtos cuja conformidade foi avaliada com o objetivo de identificar se um é melhor ou pior do que outro. A garantia da qualidade do produto é responsabilidade do fabricante.</w:t>
      </w:r>
    </w:p>
    <w:p w14:paraId="1E580279" w14:textId="0CE89272" w:rsidR="00680EF2" w:rsidRPr="00A55AB6" w:rsidRDefault="00680EF2" w:rsidP="00A55AB6">
      <w:pPr>
        <w:pStyle w:val="Corpodetexto"/>
        <w:rPr>
          <w:rFonts w:asciiTheme="majorHAnsi" w:hAnsiTheme="majorHAnsi" w:cstheme="majorHAnsi"/>
          <w:sz w:val="22"/>
          <w:szCs w:val="22"/>
        </w:rPr>
      </w:pPr>
      <w:r w:rsidRPr="00A96634">
        <w:rPr>
          <w:rFonts w:asciiTheme="majorHAnsi" w:hAnsiTheme="majorHAnsi" w:cstheme="majorHAnsi"/>
          <w:sz w:val="22"/>
          <w:szCs w:val="22"/>
        </w:rPr>
        <w:t>Em avaliação da conformidade, dizer que duas marcas diferentes de um mesmo produto foram aprovadas, significa apenas dizer que ambas foram avaliadas com base na mesma referência normativa e ambas atendem a requisitos mínimos aplicáveis às especificidades de uso do produto.</w:t>
      </w:r>
    </w:p>
    <w:p w14:paraId="5989F84E" w14:textId="77777777" w:rsidR="00DB0871" w:rsidRPr="00A96634" w:rsidRDefault="00DB0871" w:rsidP="00AE0D43">
      <w:pPr>
        <w:spacing w:after="0" w:line="240" w:lineRule="auto"/>
        <w:rPr>
          <w:rFonts w:asciiTheme="majorHAnsi" w:hAnsiTheme="majorHAnsi" w:cstheme="majorHAnsi"/>
          <w:b/>
          <w:i/>
          <w:color w:val="0066B2" w:themeColor="accent1"/>
        </w:rPr>
      </w:pPr>
      <w:r w:rsidRPr="00A96634">
        <w:rPr>
          <w:rFonts w:asciiTheme="majorHAnsi" w:hAnsiTheme="majorHAnsi" w:cstheme="majorHAnsi"/>
          <w:b/>
          <w:i/>
          <w:color w:val="0066B2" w:themeColor="accent1"/>
        </w:rPr>
        <w:t>Saiba mais sobre a história da Avaliação da Conformidade</w:t>
      </w:r>
    </w:p>
    <w:p w14:paraId="1D07AEB1" w14:textId="62AEC7B7" w:rsidR="00DB0871" w:rsidRPr="00A96634" w:rsidRDefault="00DB0871" w:rsidP="00AE0D43">
      <w:pPr>
        <w:spacing w:after="0" w:line="240" w:lineRule="auto"/>
        <w:jc w:val="both"/>
        <w:rPr>
          <w:rFonts w:asciiTheme="majorHAnsi" w:hAnsiTheme="majorHAnsi" w:cstheme="majorHAnsi"/>
          <w:i/>
          <w:color w:val="0066B2" w:themeColor="accent1"/>
        </w:rPr>
      </w:pPr>
      <w:r w:rsidRPr="00A96634">
        <w:rPr>
          <w:rFonts w:asciiTheme="majorHAnsi" w:hAnsiTheme="majorHAnsi" w:cstheme="majorHAnsi"/>
          <w:i/>
          <w:color w:val="0066B2" w:themeColor="accent1"/>
        </w:rPr>
        <w:t xml:space="preserve">A atividade de Avaliação da Conformidade começou no Brasil, de forma estruturada, na década de 80. Transporte de cargas perigosas, segurança veicular e capacetes de motociclistas foram alguns dos primeiros produtos e serviços a terem sua conformidade avaliada. </w:t>
      </w:r>
    </w:p>
    <w:p w14:paraId="4AC5746C" w14:textId="3794EBCD" w:rsidR="00DB0871" w:rsidRPr="00A96634" w:rsidRDefault="00DB0871" w:rsidP="00AE0D43">
      <w:pPr>
        <w:spacing w:after="0" w:line="240" w:lineRule="auto"/>
        <w:jc w:val="both"/>
        <w:rPr>
          <w:rFonts w:asciiTheme="majorHAnsi" w:hAnsiTheme="majorHAnsi" w:cstheme="majorHAnsi"/>
          <w:i/>
          <w:color w:val="0066B2" w:themeColor="accent1"/>
        </w:rPr>
      </w:pPr>
      <w:r w:rsidRPr="00A96634">
        <w:rPr>
          <w:rFonts w:asciiTheme="majorHAnsi" w:hAnsiTheme="majorHAnsi" w:cstheme="majorHAnsi"/>
          <w:i/>
          <w:color w:val="0066B2" w:themeColor="accent1"/>
        </w:rPr>
        <w:t>Em sua fase inicial, as certificações eram conduzidas pelo próprio Inmetro. Mas a partir de 1992, passaram a ser conduzidas por organismos e laboratórios acreditados pelo Inmetro, ou seja, que atendem aos requisitos previamente definidos e demonstram ser competentes para realizar suas atividades com confiança.</w:t>
      </w:r>
    </w:p>
    <w:p w14:paraId="14102EF3" w14:textId="77777777" w:rsidR="00DB0871" w:rsidRPr="00A96634" w:rsidRDefault="00DB0871" w:rsidP="00AE0D43">
      <w:pPr>
        <w:spacing w:after="0" w:line="240" w:lineRule="auto"/>
        <w:jc w:val="both"/>
        <w:rPr>
          <w:rFonts w:asciiTheme="majorHAnsi" w:hAnsiTheme="majorHAnsi" w:cstheme="majorHAnsi"/>
          <w:i/>
          <w:color w:val="0066B2" w:themeColor="accent1"/>
        </w:rPr>
      </w:pPr>
      <w:r w:rsidRPr="00A96634">
        <w:rPr>
          <w:rFonts w:asciiTheme="majorHAnsi" w:hAnsiTheme="majorHAnsi" w:cstheme="majorHAnsi"/>
          <w:i/>
          <w:color w:val="0066B2" w:themeColor="accent1"/>
        </w:rPr>
        <w:lastRenderedPageBreak/>
        <w:t>Hoje, são cerca de 500 famílias de produtos e serviços que possuem a conformidade avaliada compulsoriamente no âmbito do Sistema Brasileiro de Avaliação da Conformidade. Isso corresponde a mais de 550 mil modelos de produtos que, para serem comercializados no mercado brasileiro, precisam ostentar o selo de identificação da conformidade.</w:t>
      </w:r>
    </w:p>
    <w:p w14:paraId="4BE5E057" w14:textId="77777777" w:rsidR="00DB0871" w:rsidRPr="00A96634" w:rsidRDefault="00DB0871" w:rsidP="00AE0D43">
      <w:pPr>
        <w:spacing w:after="0" w:line="240" w:lineRule="auto"/>
        <w:jc w:val="both"/>
        <w:rPr>
          <w:rFonts w:asciiTheme="majorHAnsi" w:hAnsiTheme="majorHAnsi" w:cstheme="majorHAnsi"/>
          <w:i/>
          <w:color w:val="0066B2" w:themeColor="accent1"/>
        </w:rPr>
      </w:pPr>
    </w:p>
    <w:p w14:paraId="4CDC4F0F" w14:textId="77777777" w:rsidR="00DB0871" w:rsidRPr="00A96634" w:rsidRDefault="00DB0871" w:rsidP="00AE0D43">
      <w:pPr>
        <w:spacing w:after="0" w:line="240" w:lineRule="auto"/>
        <w:jc w:val="both"/>
        <w:rPr>
          <w:rFonts w:asciiTheme="majorHAnsi" w:hAnsiTheme="majorHAnsi" w:cstheme="majorHAnsi"/>
          <w:b/>
          <w:i/>
          <w:color w:val="0066B2" w:themeColor="accent1"/>
        </w:rPr>
      </w:pPr>
      <w:r w:rsidRPr="00A96634">
        <w:rPr>
          <w:rFonts w:asciiTheme="majorHAnsi" w:hAnsiTheme="majorHAnsi" w:cstheme="majorHAnsi"/>
          <w:b/>
          <w:i/>
          <w:color w:val="0066B2" w:themeColor="accent1"/>
        </w:rPr>
        <w:t>Sistema Brasileiro de Avaliação da Conformidade</w:t>
      </w:r>
      <w:proofErr w:type="gramStart"/>
      <w:r w:rsidRPr="00A96634">
        <w:rPr>
          <w:rFonts w:asciiTheme="majorHAnsi" w:hAnsiTheme="majorHAnsi" w:cstheme="majorHAnsi"/>
          <w:b/>
          <w:i/>
          <w:color w:val="0066B2" w:themeColor="accent1"/>
        </w:rPr>
        <w:t>...</w:t>
      </w:r>
      <w:proofErr w:type="gramEnd"/>
      <w:r w:rsidRPr="00A96634">
        <w:rPr>
          <w:rFonts w:asciiTheme="majorHAnsi" w:hAnsiTheme="majorHAnsi" w:cstheme="majorHAnsi"/>
          <w:b/>
          <w:i/>
          <w:color w:val="0066B2" w:themeColor="accent1"/>
        </w:rPr>
        <w:t xml:space="preserve"> Mas que sistema é este?</w:t>
      </w:r>
    </w:p>
    <w:p w14:paraId="3AD1CA0B" w14:textId="77777777" w:rsidR="00DB0871" w:rsidRPr="00A96634" w:rsidRDefault="00DB0871" w:rsidP="00AE0D43">
      <w:pPr>
        <w:spacing w:after="0" w:line="240" w:lineRule="auto"/>
        <w:jc w:val="both"/>
        <w:rPr>
          <w:rFonts w:asciiTheme="majorHAnsi" w:hAnsiTheme="majorHAnsi" w:cstheme="majorHAnsi"/>
          <w:i/>
          <w:color w:val="0066B2" w:themeColor="accent1"/>
        </w:rPr>
      </w:pPr>
      <w:r w:rsidRPr="00A96634">
        <w:rPr>
          <w:rFonts w:asciiTheme="majorHAnsi" w:hAnsiTheme="majorHAnsi" w:cstheme="majorHAnsi"/>
          <w:i/>
          <w:color w:val="0066B2" w:themeColor="accent1"/>
        </w:rPr>
        <w:t xml:space="preserve">O Sistema Brasileiro de Avaliação da Conformidade (SBAC) é um subsistema do Sistema Nacional de Metrologia, Normalização e Qualidade Industrial (Sinmetro), destinado ao desenvolvimento e à coordenação das atividades de avaliação da conformidade no Brasil. O SBAC é formado pelas partes interessadas na atividade de avaliação da conformidade, entre as quais estão fabricantes, laboratórios, organismos de certificação e consumidores. </w:t>
      </w:r>
    </w:p>
    <w:p w14:paraId="1D40C870" w14:textId="77777777" w:rsidR="00DB0871" w:rsidRPr="00A96634" w:rsidRDefault="00DB0871" w:rsidP="00AE0D43">
      <w:pPr>
        <w:spacing w:after="0" w:line="240" w:lineRule="auto"/>
        <w:jc w:val="both"/>
        <w:rPr>
          <w:rFonts w:asciiTheme="majorHAnsi" w:hAnsiTheme="majorHAnsi" w:cstheme="majorHAnsi"/>
          <w:i/>
          <w:color w:val="0066B2" w:themeColor="accent1"/>
        </w:rPr>
      </w:pPr>
      <w:r w:rsidRPr="00A96634">
        <w:rPr>
          <w:rFonts w:asciiTheme="majorHAnsi" w:hAnsiTheme="majorHAnsi" w:cstheme="majorHAnsi"/>
          <w:i/>
          <w:color w:val="0066B2" w:themeColor="accent1"/>
        </w:rPr>
        <w:t>No âmbito do Sinmetro, as atividades de metrologia científica e legal, avaliação da conformidade, acreditação de organismos e de laboratórios, e normalização são tratadas integradamente.</w:t>
      </w:r>
    </w:p>
    <w:p w14:paraId="59562C41" w14:textId="77777777" w:rsidR="00DB0871" w:rsidRPr="00A96634" w:rsidRDefault="00DB0871" w:rsidP="00AE0D43">
      <w:pPr>
        <w:spacing w:after="0" w:line="240" w:lineRule="auto"/>
        <w:jc w:val="both"/>
        <w:rPr>
          <w:rFonts w:asciiTheme="majorHAnsi" w:hAnsiTheme="majorHAnsi" w:cstheme="majorHAnsi"/>
          <w:i/>
          <w:color w:val="0066B2" w:themeColor="accent1"/>
        </w:rPr>
      </w:pPr>
      <w:r w:rsidRPr="00A96634">
        <w:rPr>
          <w:rFonts w:asciiTheme="majorHAnsi" w:hAnsiTheme="majorHAnsi" w:cstheme="majorHAnsi"/>
          <w:i/>
          <w:color w:val="0066B2" w:themeColor="accent1"/>
        </w:rPr>
        <w:t>Existe também o Comitê Brasileiro de Avaliação da Conformidade, criado em 2001 para substituir o Comitê Brasileiro de Certificação (CBC) e o Comitê Nacional de Credenciamento (</w:t>
      </w:r>
      <w:proofErr w:type="spellStart"/>
      <w:r w:rsidRPr="00A96634">
        <w:rPr>
          <w:rFonts w:asciiTheme="majorHAnsi" w:hAnsiTheme="majorHAnsi" w:cstheme="majorHAnsi"/>
          <w:i/>
          <w:color w:val="0066B2" w:themeColor="accent1"/>
        </w:rPr>
        <w:t>Conacre</w:t>
      </w:r>
      <w:proofErr w:type="spellEnd"/>
      <w:r w:rsidRPr="00A96634">
        <w:rPr>
          <w:rFonts w:asciiTheme="majorHAnsi" w:hAnsiTheme="majorHAnsi" w:cstheme="majorHAnsi"/>
          <w:i/>
          <w:color w:val="0066B2" w:themeColor="accent1"/>
        </w:rPr>
        <w:t>).</w:t>
      </w:r>
      <w:r w:rsidRPr="00A96634">
        <w:rPr>
          <w:rFonts w:asciiTheme="majorHAnsi" w:hAnsiTheme="majorHAnsi" w:cstheme="majorHAnsi"/>
          <w:i/>
          <w:color w:val="0066B2" w:themeColor="accent1"/>
        </w:rPr>
        <w:tab/>
      </w:r>
    </w:p>
    <w:p w14:paraId="59ECA2F6" w14:textId="77777777" w:rsidR="00DB0871" w:rsidRPr="00A96634" w:rsidRDefault="00DB0871" w:rsidP="00AE0D43">
      <w:pPr>
        <w:spacing w:after="0" w:line="240" w:lineRule="auto"/>
        <w:jc w:val="both"/>
        <w:rPr>
          <w:rFonts w:asciiTheme="majorHAnsi" w:hAnsiTheme="majorHAnsi" w:cstheme="majorHAnsi"/>
          <w:i/>
          <w:color w:val="0066B2" w:themeColor="accent1"/>
        </w:rPr>
      </w:pPr>
      <w:r w:rsidRPr="00A96634">
        <w:rPr>
          <w:rFonts w:asciiTheme="majorHAnsi" w:hAnsiTheme="majorHAnsi" w:cstheme="majorHAnsi"/>
          <w:i/>
          <w:color w:val="0066B2" w:themeColor="accent1"/>
        </w:rPr>
        <w:t>A atribuição do Comitê Brasileiro de Avaliação da Conformidade (CBAC) é estruturar, para a sociedade, um sistema de avaliação da conformidade harmonizado internacionalmente, por meio da proposição de princípios e políticas a serem adotados no âmbito do SBAC. É o Inmetro que faz o papel de secretaria executiva deste comitê.</w:t>
      </w:r>
    </w:p>
    <w:p w14:paraId="31639401" w14:textId="77777777" w:rsidR="00680EF2" w:rsidRPr="00AC0A9D" w:rsidRDefault="00680EF2" w:rsidP="00A96634">
      <w:pPr>
        <w:spacing w:before="120" w:after="120" w:line="360" w:lineRule="auto"/>
        <w:jc w:val="center"/>
        <w:rPr>
          <w:rFonts w:asciiTheme="majorHAnsi" w:hAnsiTheme="majorHAnsi" w:cstheme="majorHAnsi"/>
          <w:b/>
          <w:color w:val="003359" w:themeColor="accent1" w:themeShade="80"/>
        </w:rPr>
      </w:pPr>
    </w:p>
    <w:p w14:paraId="7BCE5DF3" w14:textId="77777777" w:rsidR="00680EF2" w:rsidRPr="00A96634" w:rsidRDefault="00680EF2" w:rsidP="00A96634">
      <w:pPr>
        <w:pStyle w:val="Corpodetexto"/>
        <w:rPr>
          <w:rFonts w:asciiTheme="majorHAnsi" w:hAnsiTheme="majorHAnsi" w:cstheme="majorHAnsi"/>
          <w:sz w:val="22"/>
          <w:szCs w:val="22"/>
        </w:rPr>
      </w:pPr>
      <w:r w:rsidRPr="00A96634">
        <w:rPr>
          <w:rFonts w:asciiTheme="majorHAnsi" w:hAnsiTheme="majorHAnsi" w:cstheme="majorHAnsi"/>
          <w:sz w:val="22"/>
          <w:szCs w:val="22"/>
        </w:rPr>
        <w:t>Certo, mas você deve estar se perguntando: O que isso tudo tem a ver com meu dia a dia?</w:t>
      </w:r>
    </w:p>
    <w:p w14:paraId="36F73A00" w14:textId="77777777" w:rsidR="00680EF2" w:rsidRPr="00A96634" w:rsidRDefault="00680EF2" w:rsidP="00A96634">
      <w:pPr>
        <w:pStyle w:val="Corpodetexto"/>
        <w:rPr>
          <w:rFonts w:asciiTheme="majorHAnsi" w:hAnsiTheme="majorHAnsi" w:cstheme="majorHAnsi"/>
          <w:sz w:val="22"/>
          <w:szCs w:val="22"/>
        </w:rPr>
      </w:pPr>
      <w:r w:rsidRPr="00A96634">
        <w:rPr>
          <w:rFonts w:asciiTheme="majorHAnsi" w:hAnsiTheme="majorHAnsi" w:cstheme="majorHAnsi"/>
          <w:sz w:val="22"/>
          <w:szCs w:val="22"/>
        </w:rPr>
        <w:t>Muita coisa</w:t>
      </w:r>
      <w:proofErr w:type="gramStart"/>
      <w:r w:rsidRPr="00A96634">
        <w:rPr>
          <w:rFonts w:asciiTheme="majorHAnsi" w:hAnsiTheme="majorHAnsi" w:cstheme="majorHAnsi"/>
          <w:sz w:val="22"/>
          <w:szCs w:val="22"/>
        </w:rPr>
        <w:t>... Observe</w:t>
      </w:r>
      <w:proofErr w:type="gramEnd"/>
      <w:r w:rsidRPr="00A96634">
        <w:rPr>
          <w:rFonts w:asciiTheme="majorHAnsi" w:hAnsiTheme="majorHAnsi" w:cstheme="majorHAnsi"/>
          <w:sz w:val="22"/>
          <w:szCs w:val="22"/>
        </w:rPr>
        <w:t>!</w:t>
      </w:r>
    </w:p>
    <w:p w14:paraId="5C97F364" w14:textId="77777777" w:rsidR="00DB0871" w:rsidRPr="00AC0A9D" w:rsidRDefault="00DB0871" w:rsidP="00AE0D43">
      <w:pPr>
        <w:pStyle w:val="PargrafodaLista"/>
        <w:numPr>
          <w:ilvl w:val="0"/>
          <w:numId w:val="12"/>
        </w:numPr>
        <w:spacing w:before="120" w:after="120" w:line="360" w:lineRule="auto"/>
        <w:outlineLvl w:val="1"/>
        <w:rPr>
          <w:rFonts w:asciiTheme="majorHAnsi" w:eastAsia="Franklin Gothic Medium" w:hAnsiTheme="majorHAnsi" w:cstheme="majorHAnsi"/>
          <w:b/>
          <w:vanish/>
          <w:color w:val="0066B2" w:themeColor="accent1"/>
          <w:lang w:val="pt-BR"/>
        </w:rPr>
      </w:pPr>
      <w:bookmarkStart w:id="13" w:name="_Toc71298113"/>
      <w:bookmarkStart w:id="14" w:name="_Toc72244125"/>
      <w:bookmarkStart w:id="15" w:name="_Toc72247792"/>
      <w:bookmarkStart w:id="16" w:name="_Toc72261123"/>
      <w:bookmarkStart w:id="17" w:name="_Toc58267932"/>
      <w:bookmarkEnd w:id="13"/>
      <w:bookmarkEnd w:id="14"/>
      <w:bookmarkEnd w:id="15"/>
      <w:bookmarkEnd w:id="16"/>
    </w:p>
    <w:p w14:paraId="4578DC41" w14:textId="4C32E064" w:rsidR="00680EF2" w:rsidRPr="0004698C" w:rsidRDefault="00680EF2" w:rsidP="0004698C">
      <w:pPr>
        <w:pStyle w:val="Ttulo2"/>
        <w:numPr>
          <w:ilvl w:val="1"/>
          <w:numId w:val="12"/>
        </w:numPr>
        <w:tabs>
          <w:tab w:val="left" w:pos="567"/>
          <w:tab w:val="left" w:pos="851"/>
        </w:tabs>
        <w:spacing w:before="120" w:beforeAutospacing="0" w:after="120" w:afterAutospacing="0" w:line="360" w:lineRule="auto"/>
        <w:ind w:left="0" w:firstLine="0"/>
        <w:rPr>
          <w:rFonts w:asciiTheme="majorHAnsi" w:hAnsiTheme="majorHAnsi" w:cstheme="majorHAnsi"/>
          <w:szCs w:val="28"/>
          <w:lang w:val="pt-BR"/>
        </w:rPr>
      </w:pPr>
      <w:bookmarkStart w:id="18" w:name="_Toc72261124"/>
      <w:r w:rsidRPr="0004698C">
        <w:rPr>
          <w:rFonts w:asciiTheme="majorHAnsi" w:hAnsiTheme="majorHAnsi" w:cstheme="majorHAnsi"/>
          <w:szCs w:val="28"/>
          <w:lang w:val="pt-BR"/>
        </w:rPr>
        <w:t>Importância da Avaliação da Conformidade</w:t>
      </w:r>
      <w:bookmarkEnd w:id="17"/>
      <w:bookmarkEnd w:id="18"/>
    </w:p>
    <w:p w14:paraId="48A683AD" w14:textId="77777777" w:rsidR="00680EF2" w:rsidRPr="0004698C" w:rsidRDefault="00680EF2">
      <w:pPr>
        <w:pStyle w:val="Corpodetexto"/>
        <w:rPr>
          <w:rFonts w:asciiTheme="majorHAnsi" w:hAnsiTheme="majorHAnsi" w:cstheme="majorHAnsi"/>
          <w:sz w:val="22"/>
          <w:szCs w:val="22"/>
        </w:rPr>
      </w:pPr>
      <w:r w:rsidRPr="0004698C">
        <w:rPr>
          <w:rFonts w:asciiTheme="majorHAnsi" w:hAnsiTheme="majorHAnsi" w:cstheme="majorHAnsi"/>
          <w:sz w:val="22"/>
          <w:szCs w:val="22"/>
        </w:rPr>
        <w:t>Como você sabe que os produtos que você adquire não estão colocando em risco, sua saúde ou segurança? Você já parou para pensar que até mesmo um inocente brinquedo pode causar um acidente fatal?</w:t>
      </w:r>
    </w:p>
    <w:p w14:paraId="71FDA49F" w14:textId="77777777" w:rsidR="00680EF2" w:rsidRPr="0004698C" w:rsidRDefault="00680EF2">
      <w:pPr>
        <w:pStyle w:val="Corpodetexto"/>
        <w:rPr>
          <w:rFonts w:asciiTheme="majorHAnsi" w:hAnsiTheme="majorHAnsi" w:cstheme="majorHAnsi"/>
          <w:sz w:val="22"/>
          <w:szCs w:val="22"/>
        </w:rPr>
      </w:pPr>
      <w:r w:rsidRPr="0004698C">
        <w:rPr>
          <w:rFonts w:asciiTheme="majorHAnsi" w:hAnsiTheme="majorHAnsi" w:cstheme="majorHAnsi"/>
          <w:sz w:val="22"/>
          <w:szCs w:val="22"/>
        </w:rPr>
        <w:t>Pesquisas mostram que um simples brinquedo pode causar desde uma queda, até intoxicação em função da migração de metais pesados, estrangulamento, ingestão ou inalação do brinquedo ou partes dele.</w:t>
      </w:r>
    </w:p>
    <w:p w14:paraId="0B8BD296" w14:textId="7240EE5F" w:rsidR="00680EF2" w:rsidRPr="00A96634" w:rsidRDefault="00E046CE">
      <w:pPr>
        <w:pStyle w:val="Corpodetexto"/>
        <w:rPr>
          <w:rFonts w:asciiTheme="majorHAnsi" w:hAnsiTheme="majorHAnsi" w:cstheme="majorHAnsi"/>
          <w:sz w:val="22"/>
          <w:szCs w:val="22"/>
        </w:rPr>
      </w:pPr>
      <w:r>
        <w:rPr>
          <w:noProof/>
          <w:lang w:eastAsia="pt-BR"/>
        </w:rPr>
        <w:drawing>
          <wp:anchor distT="0" distB="0" distL="114300" distR="114300" simplePos="0" relativeHeight="251697152" behindDoc="0" locked="0" layoutInCell="1" allowOverlap="1" wp14:anchorId="39198616" wp14:editId="096773BC">
            <wp:simplePos x="0" y="0"/>
            <wp:positionH relativeFrom="margin">
              <wp:align>left</wp:align>
            </wp:positionH>
            <wp:positionV relativeFrom="paragraph">
              <wp:posOffset>-635</wp:posOffset>
            </wp:positionV>
            <wp:extent cx="2984500" cy="1588770"/>
            <wp:effectExtent l="0" t="0" r="6350" b="0"/>
            <wp:wrapSquare wrapText="bothSides"/>
            <wp:docPr id="2" name="Imagem 2" descr="https://entib.org.br/entib/imagens/AC_A01_selos-i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AC_A01_selos-id6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729" cy="1592572"/>
                    </a:xfrm>
                    <a:prstGeom prst="rect">
                      <a:avLst/>
                    </a:prstGeom>
                    <a:noFill/>
                    <a:ln>
                      <a:noFill/>
                    </a:ln>
                  </pic:spPr>
                </pic:pic>
              </a:graphicData>
            </a:graphic>
            <wp14:sizeRelH relativeFrom="page">
              <wp14:pctWidth>0</wp14:pctWidth>
            </wp14:sizeRelH>
            <wp14:sizeRelV relativeFrom="page">
              <wp14:pctHeight>0</wp14:pctHeight>
            </wp14:sizeRelV>
          </wp:anchor>
        </w:drawing>
      </w:r>
      <w:r w:rsidR="00680EF2" w:rsidRPr="0004698C">
        <w:rPr>
          <w:rFonts w:asciiTheme="majorHAnsi" w:hAnsiTheme="majorHAnsi" w:cstheme="majorHAnsi"/>
          <w:sz w:val="22"/>
          <w:szCs w:val="22"/>
        </w:rPr>
        <w:t xml:space="preserve">A atividade de avaliação </w:t>
      </w:r>
      <w:r w:rsidR="00680EF2" w:rsidRPr="00A96634">
        <w:rPr>
          <w:rFonts w:asciiTheme="majorHAnsi" w:hAnsiTheme="majorHAnsi" w:cstheme="majorHAnsi"/>
          <w:sz w:val="22"/>
          <w:szCs w:val="22"/>
        </w:rPr>
        <w:t>da conformidade serve para isso...  Ela assegura a você que, determinado produto, processo ou serviço foi avaliado e aprovado.</w:t>
      </w:r>
    </w:p>
    <w:p w14:paraId="0E1A7FFD" w14:textId="7B1E1C36"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 xml:space="preserve">No caso dos brinquedos infantis, por exemplo, durante a avaliação são verificados requisitos como: toxicidade, </w:t>
      </w:r>
      <w:proofErr w:type="spellStart"/>
      <w:r w:rsidRPr="00A96634">
        <w:rPr>
          <w:rFonts w:asciiTheme="majorHAnsi" w:hAnsiTheme="majorHAnsi" w:cstheme="majorHAnsi"/>
          <w:sz w:val="22"/>
          <w:szCs w:val="22"/>
        </w:rPr>
        <w:t>inflamabilidade</w:t>
      </w:r>
      <w:proofErr w:type="spellEnd"/>
      <w:r w:rsidRPr="00A96634">
        <w:rPr>
          <w:rFonts w:asciiTheme="majorHAnsi" w:hAnsiTheme="majorHAnsi" w:cstheme="majorHAnsi"/>
          <w:sz w:val="22"/>
          <w:szCs w:val="22"/>
        </w:rPr>
        <w:t>, propriedades físicas e mecânicas, ruído, advertências e identificação de faixa etária, entre outros requisitos que propiciam confiança na segurança do produto com conformidade avaliada e aprovada.</w:t>
      </w:r>
    </w:p>
    <w:p w14:paraId="29ACC8EE"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lastRenderedPageBreak/>
        <w:t xml:space="preserve">Assista ao vídeo da série "Faça Certo": Acidentes de consumo publicados na TV Inmetro – Canal oficial do Inmetro no </w:t>
      </w:r>
      <w:proofErr w:type="spellStart"/>
      <w:r w:rsidRPr="00A96634">
        <w:rPr>
          <w:rFonts w:asciiTheme="majorHAnsi" w:hAnsiTheme="majorHAnsi" w:cstheme="majorHAnsi"/>
          <w:sz w:val="22"/>
          <w:szCs w:val="22"/>
        </w:rPr>
        <w:t>Youtube</w:t>
      </w:r>
      <w:proofErr w:type="spellEnd"/>
      <w:r w:rsidRPr="00A96634">
        <w:rPr>
          <w:rFonts w:asciiTheme="majorHAnsi" w:hAnsiTheme="majorHAnsi" w:cstheme="majorHAnsi"/>
          <w:sz w:val="22"/>
          <w:szCs w:val="22"/>
        </w:rPr>
        <w:t>.</w:t>
      </w:r>
    </w:p>
    <w:p w14:paraId="64A518E4"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 xml:space="preserve">Este vídeo alerta sobre possíveis perigos de alguns produtos e a importância de utilizá-los dentro dos padrões de segurança, evitando o risco de acidentes. </w:t>
      </w:r>
    </w:p>
    <w:p w14:paraId="08F61F92" w14:textId="6525DE42" w:rsidR="00680EF2" w:rsidRPr="00A96634" w:rsidRDefault="00680EF2">
      <w:pPr>
        <w:pStyle w:val="Corpodetexto"/>
        <w:rPr>
          <w:rFonts w:asciiTheme="majorHAnsi" w:hAnsiTheme="majorHAnsi" w:cstheme="majorHAnsi"/>
          <w:color w:val="333333"/>
          <w:sz w:val="22"/>
          <w:szCs w:val="22"/>
        </w:rPr>
      </w:pPr>
      <w:r w:rsidRPr="00A96634">
        <w:rPr>
          <w:rFonts w:asciiTheme="majorHAnsi" w:hAnsiTheme="majorHAnsi" w:cstheme="majorHAnsi"/>
          <w:color w:val="333333"/>
          <w:sz w:val="22"/>
          <w:szCs w:val="22"/>
        </w:rPr>
        <w:t xml:space="preserve">Vídeo: </w:t>
      </w:r>
      <w:hyperlink r:id="rId28" w:history="1">
        <w:r w:rsidRPr="00A96634">
          <w:rPr>
            <w:rStyle w:val="Hyperlink"/>
            <w:rFonts w:asciiTheme="majorHAnsi" w:hAnsiTheme="majorHAnsi" w:cstheme="majorHAnsi"/>
            <w:b/>
            <w:color w:val="0066B2" w:themeColor="accent1"/>
            <w:sz w:val="22"/>
            <w:szCs w:val="22"/>
          </w:rPr>
          <w:t>https://www.youtube.com/watch?v=sybJa_iUMXE</w:t>
        </w:r>
      </w:hyperlink>
    </w:p>
    <w:p w14:paraId="21451C97"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 A série "Faça certo" tem o objetivo de conscientizar os consumidores sobre o uso correto de produtos com o selo de identificação da conformidade do Inmetro.</w:t>
      </w:r>
    </w:p>
    <w:p w14:paraId="73668FFD"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Mas continuando...</w:t>
      </w:r>
    </w:p>
    <w:p w14:paraId="40AED386"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Você lembra da polêmica mudança no padrão de tomadas?</w:t>
      </w:r>
    </w:p>
    <w:p w14:paraId="0DF583D7" w14:textId="61E46428"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noProof/>
          <w:sz w:val="22"/>
          <w:szCs w:val="22"/>
          <w:lang w:eastAsia="pt-BR"/>
        </w:rPr>
        <w:drawing>
          <wp:anchor distT="0" distB="0" distL="114300" distR="114300" simplePos="0" relativeHeight="251686912" behindDoc="0" locked="0" layoutInCell="1" allowOverlap="1" wp14:anchorId="33C833B0" wp14:editId="0B225742">
            <wp:simplePos x="0" y="0"/>
            <wp:positionH relativeFrom="margin">
              <wp:align>left</wp:align>
            </wp:positionH>
            <wp:positionV relativeFrom="paragraph">
              <wp:posOffset>17780</wp:posOffset>
            </wp:positionV>
            <wp:extent cx="1420495" cy="2208530"/>
            <wp:effectExtent l="0" t="0" r="8255" b="1270"/>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20495" cy="2208530"/>
                    </a:xfrm>
                    <a:prstGeom prst="rect">
                      <a:avLst/>
                    </a:prstGeom>
                  </pic:spPr>
                </pic:pic>
              </a:graphicData>
            </a:graphic>
            <wp14:sizeRelH relativeFrom="page">
              <wp14:pctWidth>0</wp14:pctWidth>
            </wp14:sizeRelH>
            <wp14:sizeRelV relativeFrom="page">
              <wp14:pctHeight>0</wp14:pctHeight>
            </wp14:sizeRelV>
          </wp:anchor>
        </w:drawing>
      </w:r>
      <w:r w:rsidRPr="00A96634">
        <w:rPr>
          <w:rFonts w:asciiTheme="majorHAnsi" w:hAnsiTheme="majorHAnsi" w:cstheme="majorHAnsi"/>
          <w:sz w:val="22"/>
          <w:szCs w:val="22"/>
        </w:rPr>
        <w:t xml:space="preserve">Esse programa de avaliação da conformidade foi criado para dar maior segurança ao consumidor ao tentar diminuir a possibilidade de choques elétricos, incêndios e mortes. </w:t>
      </w:r>
    </w:p>
    <w:p w14:paraId="1ECF7F83"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 xml:space="preserve">Nos últimos dez anos, o </w:t>
      </w:r>
      <w:proofErr w:type="spellStart"/>
      <w:r w:rsidRPr="00A96634">
        <w:rPr>
          <w:rFonts w:asciiTheme="majorHAnsi" w:hAnsiTheme="majorHAnsi" w:cstheme="majorHAnsi"/>
          <w:sz w:val="22"/>
          <w:szCs w:val="22"/>
        </w:rPr>
        <w:t>Datasus</w:t>
      </w:r>
      <w:proofErr w:type="spellEnd"/>
      <w:r w:rsidRPr="00A96634">
        <w:rPr>
          <w:rFonts w:asciiTheme="majorHAnsi" w:hAnsiTheme="majorHAnsi" w:cstheme="majorHAnsi"/>
          <w:sz w:val="22"/>
          <w:szCs w:val="22"/>
        </w:rPr>
        <w:t xml:space="preserve"> registrou 13.776 internações com 379 óbitos e mais 15.418 mortes imediatas decorrentes de acidentes relativos à exposição </w:t>
      </w:r>
      <w:proofErr w:type="gramStart"/>
      <w:r w:rsidRPr="00A96634">
        <w:rPr>
          <w:rFonts w:asciiTheme="majorHAnsi" w:hAnsiTheme="majorHAnsi" w:cstheme="majorHAnsi"/>
          <w:sz w:val="22"/>
          <w:szCs w:val="22"/>
        </w:rPr>
        <w:t>à</w:t>
      </w:r>
      <w:proofErr w:type="gramEnd"/>
      <w:r w:rsidRPr="00A96634">
        <w:rPr>
          <w:rFonts w:asciiTheme="majorHAnsi" w:hAnsiTheme="majorHAnsi" w:cstheme="majorHAnsi"/>
          <w:sz w:val="22"/>
          <w:szCs w:val="22"/>
        </w:rPr>
        <w:t xml:space="preserve"> correntes elétricas em residências, escolas, asilos e locais de trabalho.</w:t>
      </w:r>
    </w:p>
    <w:p w14:paraId="195B851B" w14:textId="76112071"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Interessante</w:t>
      </w:r>
      <w:r w:rsidR="008767C0" w:rsidRPr="00A96634">
        <w:rPr>
          <w:rFonts w:asciiTheme="majorHAnsi" w:hAnsiTheme="majorHAnsi" w:cstheme="majorHAnsi"/>
          <w:sz w:val="22"/>
          <w:szCs w:val="22"/>
        </w:rPr>
        <w:t>,</w:t>
      </w:r>
      <w:r w:rsidRPr="00A96634">
        <w:rPr>
          <w:rFonts w:asciiTheme="majorHAnsi" w:hAnsiTheme="majorHAnsi" w:cstheme="majorHAnsi"/>
          <w:sz w:val="22"/>
          <w:szCs w:val="22"/>
        </w:rPr>
        <w:t xml:space="preserve"> não é?</w:t>
      </w:r>
    </w:p>
    <w:p w14:paraId="670E1F58"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A Avaliação da Conformidade, além de propiciar confiança assegurando que produtos, processos ou serviços não oferecem risco a saúde e segurança do consumidor e do meio ambiente, é um importante instrumento estratégico para o desenvolvimento econômico dos países.</w:t>
      </w:r>
    </w:p>
    <w:p w14:paraId="23D55833"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Em relação ao comércio internacional, é particularmente importante avaliar a conformidade para que o fornecedor possa demonstrar para o mercado mundial, que seu produto atende a requisitos técnicos preestabelecidos. O selo de identificação da conformidade é a evidência de que o produto passou pelo processo de avaliação da conformidade.</w:t>
      </w:r>
    </w:p>
    <w:p w14:paraId="4AA55F37"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A atividade de avaliação da conformidade, aplicada de forma correta, não deve envolver recursos superiores aos que a sociedade está disposta a investir. Para ser duplamente bem-sucedida ela deve cumprir seu papel sem tornar-se um ônus para as empresas envolvidas.</w:t>
      </w:r>
    </w:p>
    <w:p w14:paraId="45428DC8"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Mas como toda atividade, ela precisa ser executada de forma correta, para que não cause prejuízo para a sociedade.</w:t>
      </w:r>
    </w:p>
    <w:p w14:paraId="0C3F2CC9" w14:textId="17FBDA17" w:rsidR="00680EF2" w:rsidRDefault="00680EF2" w:rsidP="00A96634">
      <w:r w:rsidRPr="00A96634">
        <w:t>Observe:</w:t>
      </w:r>
    </w:p>
    <w:p w14:paraId="3F7A2531" w14:textId="77777777" w:rsidR="00FE38BC" w:rsidRPr="00AC0A9D" w:rsidRDefault="00FE38BC" w:rsidP="00A96634"/>
    <w:p w14:paraId="6EA5CE6B" w14:textId="1E528E92" w:rsidR="00680EF2" w:rsidRPr="0004698C" w:rsidRDefault="00680EF2" w:rsidP="00A55AB6">
      <w:pPr>
        <w:pStyle w:val="Ttulo2"/>
        <w:numPr>
          <w:ilvl w:val="1"/>
          <w:numId w:val="12"/>
        </w:numPr>
        <w:tabs>
          <w:tab w:val="left" w:pos="567"/>
          <w:tab w:val="left" w:pos="851"/>
        </w:tabs>
        <w:spacing w:before="360" w:beforeAutospacing="0" w:after="120" w:afterAutospacing="0" w:line="360" w:lineRule="auto"/>
        <w:ind w:left="0" w:firstLine="0"/>
        <w:rPr>
          <w:rFonts w:asciiTheme="majorHAnsi" w:hAnsiTheme="majorHAnsi" w:cstheme="majorHAnsi"/>
          <w:szCs w:val="28"/>
          <w:lang w:val="pt-BR"/>
        </w:rPr>
      </w:pPr>
      <w:bookmarkStart w:id="19" w:name="_Toc58267933"/>
      <w:bookmarkStart w:id="20" w:name="_Toc72261125"/>
      <w:r w:rsidRPr="0004698C">
        <w:rPr>
          <w:rFonts w:asciiTheme="majorHAnsi" w:hAnsiTheme="majorHAnsi" w:cstheme="majorHAnsi"/>
          <w:szCs w:val="28"/>
          <w:lang w:val="pt-BR"/>
        </w:rPr>
        <w:lastRenderedPageBreak/>
        <w:t>Vantagens e desvantagens da Avaliação da Conformidade</w:t>
      </w:r>
      <w:bookmarkEnd w:id="19"/>
      <w:bookmarkEnd w:id="20"/>
    </w:p>
    <w:p w14:paraId="3CF207C6" w14:textId="77777777" w:rsidR="00680EF2" w:rsidRPr="00A96634" w:rsidRDefault="00680EF2">
      <w:pPr>
        <w:pStyle w:val="Corpodetexto"/>
        <w:rPr>
          <w:rFonts w:asciiTheme="majorHAnsi" w:hAnsiTheme="majorHAnsi" w:cstheme="majorHAnsi"/>
          <w:sz w:val="22"/>
          <w:szCs w:val="22"/>
        </w:rPr>
      </w:pPr>
      <w:r w:rsidRPr="0004698C">
        <w:rPr>
          <w:rFonts w:asciiTheme="majorHAnsi" w:hAnsiTheme="majorHAnsi" w:cstheme="majorHAnsi"/>
          <w:sz w:val="22"/>
          <w:szCs w:val="22"/>
        </w:rPr>
        <w:t xml:space="preserve">A Avaliação da Conformidade é um extenso, complexo   e   poderoso instrumento   estratégico para o desenvolvimento </w:t>
      </w:r>
      <w:r w:rsidRPr="00A96634">
        <w:rPr>
          <w:rFonts w:asciiTheme="majorHAnsi" w:hAnsiTheme="majorHAnsi" w:cstheme="majorHAnsi"/>
          <w:sz w:val="22"/>
          <w:szCs w:val="22"/>
        </w:rPr>
        <w:t xml:space="preserve">das economias nacionais e internacionais. </w:t>
      </w:r>
    </w:p>
    <w:p w14:paraId="2C210BC0"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Veja que interessante:</w:t>
      </w:r>
    </w:p>
    <w:p w14:paraId="0ACC8FE8"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 xml:space="preserve">Para as </w:t>
      </w:r>
      <w:r w:rsidRPr="00A96634">
        <w:rPr>
          <w:rFonts w:asciiTheme="majorHAnsi" w:hAnsiTheme="majorHAnsi" w:cstheme="majorHAnsi"/>
          <w:b/>
          <w:sz w:val="22"/>
          <w:szCs w:val="22"/>
        </w:rPr>
        <w:t>empresas</w:t>
      </w:r>
      <w:r w:rsidRPr="00A96634">
        <w:rPr>
          <w:rFonts w:asciiTheme="majorHAnsi" w:hAnsiTheme="majorHAnsi" w:cstheme="majorHAnsi"/>
          <w:sz w:val="22"/>
          <w:szCs w:val="22"/>
        </w:rPr>
        <w:t>, a Avaliação da Conformidade induz à busca contínua da melhoria da qualidade. As empresas que se engajam neste movimento, orientam-se para assegurar a qualidade dos seus produtos, processos ou serviços, beneficiando-se com a melhoria da produtividade e aumento da competitividade, e tornando a concorrência mais justa, a medida em que indica claramente os produtos, processos ou serviços que atendem aos requisitos especificados.</w:t>
      </w:r>
    </w:p>
    <w:p w14:paraId="64B971E0"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 xml:space="preserve">No caso do </w:t>
      </w:r>
      <w:r w:rsidRPr="00A96634">
        <w:rPr>
          <w:rFonts w:asciiTheme="majorHAnsi" w:hAnsiTheme="majorHAnsi" w:cstheme="majorHAnsi"/>
          <w:b/>
          <w:sz w:val="22"/>
          <w:szCs w:val="22"/>
        </w:rPr>
        <w:t>Estado</w:t>
      </w:r>
      <w:r w:rsidRPr="00A96634">
        <w:rPr>
          <w:rFonts w:asciiTheme="majorHAnsi" w:hAnsiTheme="majorHAnsi" w:cstheme="majorHAnsi"/>
          <w:sz w:val="22"/>
          <w:szCs w:val="22"/>
        </w:rPr>
        <w:t>, a adoção da Avaliação da Conformidade, no âmbito compulsório, ou seja, obrigatório, é uma ferramenta que fortalece o poder regulatório das instituições públicas, sendo um instrumento eficiente de proteção à saúde e segurança do consumidor e ao meio ambiente.</w:t>
      </w:r>
    </w:p>
    <w:p w14:paraId="2C19E4CF" w14:textId="7CF248E5"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A imagem abaixo mostra alguns dos benefícios da Avaliação da Conformidade dentro de um contexto econômico.</w:t>
      </w:r>
      <w:r w:rsidR="00A55AB6">
        <w:rPr>
          <w:rFonts w:asciiTheme="majorHAnsi" w:hAnsiTheme="majorHAnsi" w:cstheme="majorHAnsi"/>
          <w:sz w:val="22"/>
          <w:szCs w:val="22"/>
        </w:rPr>
        <w:t xml:space="preserve"> </w:t>
      </w:r>
      <w:r w:rsidRPr="00A96634">
        <w:rPr>
          <w:rFonts w:asciiTheme="majorHAnsi" w:hAnsiTheme="majorHAnsi" w:cstheme="majorHAnsi"/>
          <w:sz w:val="22"/>
          <w:szCs w:val="22"/>
        </w:rPr>
        <w:t>Observe:</w:t>
      </w:r>
      <w:r w:rsidR="008767C0" w:rsidRPr="00A96634">
        <w:rPr>
          <w:rFonts w:asciiTheme="majorHAnsi" w:hAnsiTheme="majorHAnsi" w:cstheme="majorHAnsi"/>
          <w:noProof/>
          <w:sz w:val="22"/>
          <w:szCs w:val="22"/>
          <w:lang w:eastAsia="pt-BR"/>
        </w:rPr>
        <w:t xml:space="preserve"> </w:t>
      </w:r>
    </w:p>
    <w:p w14:paraId="786BA4A6" w14:textId="23766AE0" w:rsidR="00680EF2" w:rsidRPr="00A96634" w:rsidRDefault="008767C0" w:rsidP="007D15EF">
      <w:pPr>
        <w:pStyle w:val="Corpodetexto"/>
        <w:jc w:val="center"/>
        <w:rPr>
          <w:rFonts w:asciiTheme="majorHAnsi" w:hAnsiTheme="majorHAnsi" w:cstheme="majorHAnsi"/>
          <w:sz w:val="22"/>
          <w:szCs w:val="22"/>
        </w:rPr>
      </w:pPr>
      <w:r w:rsidRPr="00A96634">
        <w:rPr>
          <w:rFonts w:asciiTheme="majorHAnsi" w:hAnsiTheme="majorHAnsi" w:cstheme="majorHAnsi"/>
          <w:noProof/>
          <w:sz w:val="22"/>
          <w:szCs w:val="22"/>
          <w:lang w:eastAsia="pt-BR"/>
        </w:rPr>
        <w:drawing>
          <wp:inline distT="0" distB="0" distL="0" distR="0" wp14:anchorId="10EEE74C" wp14:editId="18D75744">
            <wp:extent cx="3437384" cy="305269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519829" cy="3125908"/>
                    </a:xfrm>
                    <a:prstGeom prst="rect">
                      <a:avLst/>
                    </a:prstGeom>
                  </pic:spPr>
                </pic:pic>
              </a:graphicData>
            </a:graphic>
          </wp:inline>
        </w:drawing>
      </w:r>
    </w:p>
    <w:p w14:paraId="61AF27F3" w14:textId="77777777"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O que o consumidor ganha com ela?</w:t>
      </w:r>
    </w:p>
    <w:p w14:paraId="179C775C" w14:textId="51F93B0A" w:rsidR="00680EF2" w:rsidRPr="00A96634" w:rsidRDefault="00680EF2">
      <w:pPr>
        <w:pStyle w:val="Corpodetexto"/>
        <w:rPr>
          <w:rFonts w:asciiTheme="majorHAnsi" w:hAnsiTheme="majorHAnsi" w:cstheme="majorHAnsi"/>
          <w:color w:val="666666"/>
          <w:sz w:val="22"/>
          <w:szCs w:val="22"/>
          <w:shd w:val="clear" w:color="auto" w:fill="FFFFFF"/>
        </w:rPr>
      </w:pPr>
      <w:r w:rsidRPr="00A96634">
        <w:rPr>
          <w:rFonts w:asciiTheme="majorHAnsi" w:hAnsiTheme="majorHAnsi" w:cstheme="majorHAnsi"/>
          <w:sz w:val="22"/>
          <w:szCs w:val="22"/>
        </w:rPr>
        <w:t>O   consumidor   também   beneficia- se   da   Avaliação   da Conformidade, uma vez que ela é um mecanismo que provê confiança aos consumidores de que os produtos, processos e serviços adquiridos são próprios para o uso a que se destinam e que não oferecem risco a sua saúde e segurança, tão pouco ao meio ambiente. Motivados pela confiança, alguns consumidores podem optar por produtos com a conformidade avaliada e aprovada</w:t>
      </w:r>
      <w:r w:rsidRPr="00A96634">
        <w:rPr>
          <w:rFonts w:asciiTheme="majorHAnsi" w:hAnsiTheme="majorHAnsi" w:cstheme="majorHAnsi"/>
          <w:color w:val="666666"/>
          <w:sz w:val="22"/>
          <w:szCs w:val="22"/>
          <w:shd w:val="clear" w:color="auto" w:fill="FFFFFF"/>
        </w:rPr>
        <w:t>.</w:t>
      </w:r>
    </w:p>
    <w:p w14:paraId="689BD558" w14:textId="7BE94D5B" w:rsidR="00680EF2"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t>Certo, mas até agora só vimos vantagens.... Existem desvantagens?</w:t>
      </w:r>
    </w:p>
    <w:p w14:paraId="65203742" w14:textId="77777777" w:rsidR="008422EE" w:rsidRPr="00A96634" w:rsidRDefault="00680EF2">
      <w:pPr>
        <w:pStyle w:val="Corpodetexto"/>
        <w:rPr>
          <w:rFonts w:asciiTheme="majorHAnsi" w:hAnsiTheme="majorHAnsi" w:cstheme="majorHAnsi"/>
          <w:sz w:val="22"/>
          <w:szCs w:val="22"/>
        </w:rPr>
      </w:pPr>
      <w:r w:rsidRPr="00A96634">
        <w:rPr>
          <w:rFonts w:asciiTheme="majorHAnsi" w:hAnsiTheme="majorHAnsi" w:cstheme="majorHAnsi"/>
          <w:sz w:val="22"/>
          <w:szCs w:val="22"/>
        </w:rPr>
        <w:lastRenderedPageBreak/>
        <w:t xml:space="preserve">As desvantagens ocorrem se a Avaliação da Conformidade for </w:t>
      </w:r>
      <w:r w:rsidRPr="00A96634">
        <w:rPr>
          <w:rFonts w:asciiTheme="majorHAnsi" w:hAnsiTheme="majorHAnsi" w:cstheme="majorHAnsi"/>
          <w:b/>
          <w:sz w:val="22"/>
          <w:szCs w:val="22"/>
        </w:rPr>
        <w:t>aplicada de forma incorreta</w:t>
      </w:r>
      <w:r w:rsidRPr="00A96634">
        <w:rPr>
          <w:rFonts w:asciiTheme="majorHAnsi" w:hAnsiTheme="majorHAnsi" w:cstheme="majorHAnsi"/>
          <w:sz w:val="22"/>
          <w:szCs w:val="22"/>
        </w:rPr>
        <w:t>. Nesse caso ela pode:</w:t>
      </w:r>
    </w:p>
    <w:p w14:paraId="739CA2C7" w14:textId="3451CA06" w:rsidR="00680EF2" w:rsidRPr="00A96634" w:rsidRDefault="00C44334">
      <w:pPr>
        <w:pStyle w:val="Corpodetexto"/>
        <w:rPr>
          <w:rFonts w:asciiTheme="majorHAnsi" w:hAnsiTheme="majorHAnsi" w:cstheme="majorHAnsi"/>
          <w:sz w:val="22"/>
          <w:szCs w:val="22"/>
        </w:rPr>
      </w:pPr>
      <w:r w:rsidRPr="00A96634">
        <w:rPr>
          <w:rFonts w:asciiTheme="majorHAnsi" w:hAnsiTheme="majorHAnsi" w:cstheme="majorHAnsi"/>
          <w:noProof/>
          <w:sz w:val="22"/>
          <w:szCs w:val="22"/>
          <w:lang w:eastAsia="pt-BR"/>
        </w:rPr>
        <w:drawing>
          <wp:anchor distT="0" distB="0" distL="114300" distR="114300" simplePos="0" relativeHeight="251693056" behindDoc="1" locked="0" layoutInCell="1" allowOverlap="1" wp14:anchorId="12759AA7" wp14:editId="47DAC428">
            <wp:simplePos x="0" y="0"/>
            <wp:positionH relativeFrom="column">
              <wp:posOffset>247650</wp:posOffset>
            </wp:positionH>
            <wp:positionV relativeFrom="paragraph">
              <wp:posOffset>236220</wp:posOffset>
            </wp:positionV>
            <wp:extent cx="2513330" cy="1697990"/>
            <wp:effectExtent l="0" t="0" r="127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13330" cy="1697990"/>
                    </a:xfrm>
                    <a:prstGeom prst="rect">
                      <a:avLst/>
                    </a:prstGeom>
                  </pic:spPr>
                </pic:pic>
              </a:graphicData>
            </a:graphic>
            <wp14:sizeRelH relativeFrom="page">
              <wp14:pctWidth>0</wp14:pctWidth>
            </wp14:sizeRelH>
            <wp14:sizeRelV relativeFrom="page">
              <wp14:pctHeight>0</wp14:pctHeight>
            </wp14:sizeRelV>
          </wp:anchor>
        </w:drawing>
      </w:r>
    </w:p>
    <w:p w14:paraId="51C51240" w14:textId="7879A6B7" w:rsidR="00C44334" w:rsidRPr="00A96634" w:rsidRDefault="00C44334" w:rsidP="00A96634">
      <w:pPr>
        <w:pStyle w:val="Corpodetexto"/>
        <w:numPr>
          <w:ilvl w:val="0"/>
          <w:numId w:val="19"/>
        </w:numPr>
        <w:rPr>
          <w:rFonts w:asciiTheme="majorHAnsi" w:hAnsiTheme="majorHAnsi" w:cstheme="majorHAnsi"/>
          <w:sz w:val="22"/>
          <w:szCs w:val="22"/>
        </w:rPr>
      </w:pPr>
      <w:r w:rsidRPr="00A96634">
        <w:rPr>
          <w:rFonts w:asciiTheme="majorHAnsi" w:hAnsiTheme="majorHAnsi" w:cstheme="majorHAnsi"/>
          <w:sz w:val="22"/>
          <w:szCs w:val="22"/>
        </w:rPr>
        <w:t>Ser um fardo para as empresas;</w:t>
      </w:r>
    </w:p>
    <w:p w14:paraId="105A0A27" w14:textId="6DFDB55C" w:rsidR="00C44334" w:rsidRPr="00A96634" w:rsidRDefault="00C44334" w:rsidP="00A96634">
      <w:pPr>
        <w:pStyle w:val="Corpodetexto"/>
        <w:numPr>
          <w:ilvl w:val="0"/>
          <w:numId w:val="19"/>
        </w:numPr>
        <w:rPr>
          <w:rFonts w:asciiTheme="majorHAnsi" w:hAnsiTheme="majorHAnsi" w:cstheme="majorHAnsi"/>
          <w:sz w:val="22"/>
          <w:szCs w:val="22"/>
        </w:rPr>
      </w:pPr>
      <w:r w:rsidRPr="00A96634">
        <w:rPr>
          <w:rFonts w:asciiTheme="majorHAnsi" w:hAnsiTheme="majorHAnsi" w:cstheme="majorHAnsi"/>
          <w:sz w:val="22"/>
          <w:szCs w:val="22"/>
        </w:rPr>
        <w:t>Criar barreiras ao comércio;</w:t>
      </w:r>
    </w:p>
    <w:p w14:paraId="69443908" w14:textId="3923866E" w:rsidR="00C44334" w:rsidRPr="00A96634" w:rsidRDefault="00C44334" w:rsidP="00A96634">
      <w:pPr>
        <w:pStyle w:val="Corpodetexto"/>
        <w:numPr>
          <w:ilvl w:val="0"/>
          <w:numId w:val="19"/>
        </w:numPr>
        <w:rPr>
          <w:rFonts w:asciiTheme="majorHAnsi" w:hAnsiTheme="majorHAnsi" w:cstheme="majorHAnsi"/>
          <w:sz w:val="22"/>
          <w:szCs w:val="22"/>
        </w:rPr>
      </w:pPr>
      <w:r w:rsidRPr="00A96634">
        <w:rPr>
          <w:rFonts w:asciiTheme="majorHAnsi" w:hAnsiTheme="majorHAnsi" w:cstheme="majorHAnsi"/>
          <w:sz w:val="22"/>
          <w:szCs w:val="22"/>
        </w:rPr>
        <w:t>Inibir a inovação;</w:t>
      </w:r>
    </w:p>
    <w:p w14:paraId="54A36A31" w14:textId="22E8F51E" w:rsidR="00680EF2" w:rsidRPr="00A96634" w:rsidRDefault="00C44334" w:rsidP="00A96634">
      <w:pPr>
        <w:pStyle w:val="Corpodetexto"/>
        <w:numPr>
          <w:ilvl w:val="0"/>
          <w:numId w:val="19"/>
        </w:numPr>
        <w:rPr>
          <w:rFonts w:asciiTheme="majorHAnsi" w:hAnsiTheme="majorHAnsi" w:cstheme="majorHAnsi"/>
          <w:sz w:val="22"/>
          <w:szCs w:val="22"/>
        </w:rPr>
      </w:pPr>
      <w:r w:rsidRPr="00A96634">
        <w:rPr>
          <w:rFonts w:asciiTheme="majorHAnsi" w:hAnsiTheme="majorHAnsi" w:cstheme="majorHAnsi"/>
          <w:sz w:val="22"/>
          <w:szCs w:val="22"/>
        </w:rPr>
        <w:t xml:space="preserve">Confundir o mercado com a quantidade excessiva de marcas e marcações.  </w:t>
      </w:r>
    </w:p>
    <w:p w14:paraId="25E57024" w14:textId="77777777" w:rsidR="00680EF2" w:rsidRPr="00AC0A9D" w:rsidRDefault="00680EF2" w:rsidP="00AE0D43">
      <w:pPr>
        <w:spacing w:before="120" w:after="120" w:line="360" w:lineRule="auto"/>
        <w:ind w:left="426"/>
        <w:jc w:val="both"/>
        <w:rPr>
          <w:rFonts w:asciiTheme="majorHAnsi" w:hAnsiTheme="majorHAnsi" w:cstheme="majorHAnsi"/>
          <w:b/>
          <w:i/>
          <w:color w:val="004C85" w:themeColor="accent1" w:themeShade="BF"/>
        </w:rPr>
      </w:pPr>
    </w:p>
    <w:p w14:paraId="6E0BD750" w14:textId="77777777" w:rsidR="00680EF2" w:rsidRPr="00AC0A9D" w:rsidRDefault="00680EF2" w:rsidP="00AE0D43">
      <w:pPr>
        <w:spacing w:before="120" w:after="120" w:line="360" w:lineRule="auto"/>
        <w:ind w:left="426"/>
        <w:jc w:val="both"/>
        <w:rPr>
          <w:rFonts w:asciiTheme="majorHAnsi" w:hAnsiTheme="majorHAnsi" w:cstheme="majorHAnsi"/>
          <w:b/>
          <w:i/>
          <w:color w:val="0066B2" w:themeColor="accent1"/>
        </w:rPr>
      </w:pPr>
      <w:r w:rsidRPr="00AC0A9D">
        <w:rPr>
          <w:rFonts w:asciiTheme="majorHAnsi" w:hAnsiTheme="majorHAnsi" w:cstheme="majorHAnsi"/>
          <w:b/>
          <w:i/>
          <w:color w:val="0066B2" w:themeColor="accent1"/>
        </w:rPr>
        <w:t>Você sabia que existem normas de controle de variedade dos produtos?</w:t>
      </w:r>
    </w:p>
    <w:p w14:paraId="344756E7" w14:textId="77777777" w:rsidR="00680EF2" w:rsidRPr="00AC0A9D" w:rsidRDefault="00680EF2" w:rsidP="00AE0D43">
      <w:pPr>
        <w:spacing w:before="120" w:after="120" w:line="360" w:lineRule="auto"/>
        <w:ind w:left="426"/>
        <w:jc w:val="both"/>
        <w:rPr>
          <w:rFonts w:asciiTheme="majorHAnsi" w:hAnsiTheme="majorHAnsi" w:cstheme="majorHAnsi"/>
          <w:i/>
          <w:color w:val="0066B2" w:themeColor="accent1"/>
        </w:rPr>
      </w:pPr>
      <w:r w:rsidRPr="00AC0A9D">
        <w:rPr>
          <w:rFonts w:asciiTheme="majorHAnsi" w:hAnsiTheme="majorHAnsi" w:cstheme="majorHAnsi"/>
          <w:i/>
          <w:color w:val="0066B2" w:themeColor="accent1"/>
        </w:rPr>
        <w:t xml:space="preserve">Essas normas </w:t>
      </w:r>
      <w:r w:rsidRPr="00AC0A9D">
        <w:rPr>
          <w:rFonts w:asciiTheme="majorHAnsi" w:hAnsiTheme="majorHAnsi" w:cstheme="majorHAnsi"/>
          <w:color w:val="0066B2" w:themeColor="accent1"/>
        </w:rPr>
        <w:t>tem</w:t>
      </w:r>
      <w:r w:rsidRPr="00AC0A9D">
        <w:rPr>
          <w:rFonts w:asciiTheme="majorHAnsi" w:hAnsiTheme="majorHAnsi" w:cstheme="majorHAnsi"/>
          <w:i/>
          <w:color w:val="0066B2" w:themeColor="accent1"/>
        </w:rPr>
        <w:t xml:space="preserve"> o objetivo de limitar a diversidade de produtos, processos ou serviços, do mesmo tipo, oferecidos ao mercado.</w:t>
      </w:r>
    </w:p>
    <w:p w14:paraId="66705235" w14:textId="77777777" w:rsidR="00680EF2" w:rsidRPr="00AC0A9D" w:rsidRDefault="00680EF2" w:rsidP="00AE0D43">
      <w:pPr>
        <w:spacing w:before="120" w:after="120" w:line="360" w:lineRule="auto"/>
        <w:ind w:left="426"/>
        <w:jc w:val="both"/>
        <w:rPr>
          <w:rFonts w:asciiTheme="majorHAnsi" w:hAnsiTheme="majorHAnsi" w:cstheme="majorHAnsi"/>
          <w:i/>
          <w:color w:val="0066B2" w:themeColor="accent1"/>
        </w:rPr>
      </w:pPr>
      <w:r w:rsidRPr="00AC0A9D">
        <w:rPr>
          <w:rFonts w:asciiTheme="majorHAnsi" w:hAnsiTheme="majorHAnsi" w:cstheme="majorHAnsi"/>
          <w:i/>
          <w:color w:val="0066B2" w:themeColor="accent1"/>
        </w:rPr>
        <w:t>Isso facilita a vida dos clientes na escolha de um objeto de Avaliação da Conformidade, favorece a criação de economias em escala, e estabelece maior igualdade para as empresas concorrentes que buscam oferecer os melhores produtos, processos ou serviços, em conformidade com as normas técnicas.</w:t>
      </w:r>
    </w:p>
    <w:p w14:paraId="154BB3EA" w14:textId="77777777" w:rsidR="00680EF2" w:rsidRPr="00AC0A9D" w:rsidRDefault="00680EF2" w:rsidP="00AE0D43">
      <w:pPr>
        <w:spacing w:before="120" w:after="120" w:line="360" w:lineRule="auto"/>
        <w:ind w:left="426"/>
        <w:jc w:val="both"/>
        <w:rPr>
          <w:rFonts w:asciiTheme="majorHAnsi" w:hAnsiTheme="majorHAnsi" w:cstheme="majorHAnsi"/>
          <w:i/>
          <w:color w:val="0066B2" w:themeColor="accent1"/>
        </w:rPr>
      </w:pPr>
      <w:r w:rsidRPr="00AC0A9D">
        <w:rPr>
          <w:rFonts w:asciiTheme="majorHAnsi" w:hAnsiTheme="majorHAnsi" w:cstheme="majorHAnsi"/>
          <w:i/>
          <w:color w:val="0066B2" w:themeColor="accent1"/>
        </w:rPr>
        <w:t xml:space="preserve">Outra situação é que o excesso de marcações como etiquetas, selos e </w:t>
      </w:r>
      <w:proofErr w:type="spellStart"/>
      <w:r w:rsidRPr="00AC0A9D">
        <w:rPr>
          <w:rFonts w:asciiTheme="majorHAnsi" w:hAnsiTheme="majorHAnsi" w:cstheme="majorHAnsi"/>
          <w:i/>
          <w:color w:val="0066B2" w:themeColor="accent1"/>
        </w:rPr>
        <w:t>etc</w:t>
      </w:r>
      <w:proofErr w:type="spellEnd"/>
      <w:r w:rsidRPr="00AC0A9D">
        <w:rPr>
          <w:rFonts w:asciiTheme="majorHAnsi" w:hAnsiTheme="majorHAnsi" w:cstheme="majorHAnsi"/>
          <w:i/>
          <w:color w:val="0066B2" w:themeColor="accent1"/>
        </w:rPr>
        <w:t>, pode acabar confundindo o consumidor ao invés de auxiliá-lo na escolha de um produto.</w:t>
      </w:r>
    </w:p>
    <w:p w14:paraId="1441C7E4" w14:textId="4AE7C536" w:rsidR="00680EF2" w:rsidRPr="00AC0A9D" w:rsidRDefault="00680EF2" w:rsidP="00AE0D43">
      <w:pPr>
        <w:spacing w:before="120" w:after="120" w:line="360" w:lineRule="auto"/>
        <w:ind w:left="426"/>
        <w:jc w:val="both"/>
        <w:rPr>
          <w:rFonts w:asciiTheme="majorHAnsi" w:hAnsiTheme="majorHAnsi" w:cstheme="majorHAnsi"/>
          <w:i/>
          <w:color w:val="0066B2" w:themeColor="accent1"/>
        </w:rPr>
      </w:pPr>
      <w:r w:rsidRPr="00AC0A9D">
        <w:rPr>
          <w:rFonts w:asciiTheme="majorHAnsi" w:hAnsiTheme="majorHAnsi" w:cstheme="majorHAnsi"/>
          <w:i/>
          <w:color w:val="0066B2" w:themeColor="accent1"/>
        </w:rPr>
        <w:t xml:space="preserve">A "quantidade" de marcações não representa que o produto possua maior confiabilidade, representa apenas que ele possui um maior número de certificações, não necessariamente obrigatórias. Contudo, o consumidor pode associar uma coisa </w:t>
      </w:r>
      <w:proofErr w:type="spellStart"/>
      <w:r w:rsidRPr="00AC0A9D">
        <w:rPr>
          <w:rFonts w:asciiTheme="majorHAnsi" w:hAnsiTheme="majorHAnsi" w:cstheme="majorHAnsi"/>
          <w:i/>
          <w:color w:val="0066B2" w:themeColor="accent1"/>
        </w:rPr>
        <w:t>a</w:t>
      </w:r>
      <w:proofErr w:type="spellEnd"/>
      <w:r w:rsidRPr="00AC0A9D">
        <w:rPr>
          <w:rFonts w:asciiTheme="majorHAnsi" w:hAnsiTheme="majorHAnsi" w:cstheme="majorHAnsi"/>
          <w:i/>
          <w:color w:val="0066B2" w:themeColor="accent1"/>
        </w:rPr>
        <w:t xml:space="preserve"> outra e acabar sendo induzido a adquirir um produto por achar que ele é "melhor" do que outro e sabemos que isso pode não corresponder a realidade.</w:t>
      </w:r>
    </w:p>
    <w:p w14:paraId="6108027B" w14:textId="77777777" w:rsidR="00680EF2" w:rsidRPr="00A96634" w:rsidRDefault="00680EF2" w:rsidP="00A96634">
      <w:pPr>
        <w:pStyle w:val="Corpodetexto"/>
        <w:rPr>
          <w:rFonts w:asciiTheme="majorHAnsi" w:hAnsiTheme="majorHAnsi" w:cstheme="majorHAnsi"/>
          <w:sz w:val="22"/>
          <w:szCs w:val="22"/>
        </w:rPr>
      </w:pPr>
    </w:p>
    <w:p w14:paraId="0B540B4B" w14:textId="77777777" w:rsidR="00680EF2" w:rsidRPr="00A96634" w:rsidRDefault="00680EF2" w:rsidP="00A96634">
      <w:pPr>
        <w:pStyle w:val="Corpodetexto"/>
        <w:rPr>
          <w:rFonts w:asciiTheme="majorHAnsi" w:hAnsiTheme="majorHAnsi" w:cstheme="majorHAnsi"/>
          <w:sz w:val="22"/>
          <w:szCs w:val="22"/>
        </w:rPr>
      </w:pPr>
      <w:r w:rsidRPr="00A96634">
        <w:rPr>
          <w:rFonts w:asciiTheme="majorHAnsi" w:hAnsiTheme="majorHAnsi" w:cstheme="majorHAnsi"/>
          <w:sz w:val="22"/>
          <w:szCs w:val="22"/>
        </w:rPr>
        <w:t>E como identificamos que algo passou por avaliação e possui a conformidade aprovada?</w:t>
      </w:r>
    </w:p>
    <w:p w14:paraId="6D4BCC8B" w14:textId="6BFADD10" w:rsidR="00AB113F" w:rsidRPr="00A96634" w:rsidRDefault="00AB113F" w:rsidP="00A96634">
      <w:pPr>
        <w:pStyle w:val="Corpodetexto"/>
        <w:rPr>
          <w:rFonts w:asciiTheme="majorHAnsi" w:hAnsiTheme="majorHAnsi" w:cstheme="majorHAnsi"/>
          <w:sz w:val="22"/>
          <w:szCs w:val="22"/>
        </w:rPr>
      </w:pPr>
      <w:r w:rsidRPr="00A96634">
        <w:rPr>
          <w:rFonts w:asciiTheme="majorHAnsi" w:hAnsiTheme="majorHAnsi" w:cstheme="majorHAnsi"/>
          <w:sz w:val="22"/>
          <w:szCs w:val="22"/>
        </w:rPr>
        <w:t>Veremos isto na próxima aula</w:t>
      </w:r>
      <w:r w:rsidR="00C2319C" w:rsidRPr="00A96634">
        <w:rPr>
          <w:rFonts w:asciiTheme="majorHAnsi" w:hAnsiTheme="majorHAnsi" w:cstheme="majorHAnsi"/>
          <w:sz w:val="22"/>
          <w:szCs w:val="22"/>
        </w:rPr>
        <w:t xml:space="preserve">, porque a </w:t>
      </w:r>
      <w:r w:rsidRPr="00A96634">
        <w:rPr>
          <w:rFonts w:asciiTheme="majorHAnsi" w:hAnsiTheme="majorHAnsi" w:cstheme="majorHAnsi"/>
          <w:sz w:val="22"/>
          <w:szCs w:val="22"/>
        </w:rPr>
        <w:t>aula de hoje fica por aqui!</w:t>
      </w:r>
    </w:p>
    <w:p w14:paraId="68733F10" w14:textId="5151E60D" w:rsidR="00CB6FC5" w:rsidRDefault="00CB6FC5" w:rsidP="00CB6FC5">
      <w:pPr>
        <w:pStyle w:val="Corpodetexto"/>
        <w:rPr>
          <w:rFonts w:asciiTheme="majorHAnsi" w:hAnsiTheme="majorHAnsi" w:cstheme="majorHAnsi"/>
          <w:sz w:val="22"/>
          <w:szCs w:val="22"/>
        </w:rPr>
      </w:pPr>
      <w:r w:rsidRPr="00A96634">
        <w:rPr>
          <w:rFonts w:asciiTheme="majorHAnsi" w:hAnsiTheme="majorHAnsi" w:cstheme="majorHAnsi"/>
          <w:sz w:val="22"/>
          <w:szCs w:val="22"/>
        </w:rPr>
        <w:t>Na próxima aula falaremos sobre os Mecanismos de Avaliação da Conformidade e sobre a Classificação da Atividade. Falaremos também sobre Acreditação, sobre a Coordenação Geral de Acreditação do Inmetro – Cgcre e sobre os Princípios de avaliação da conformidade baseada em risco</w:t>
      </w:r>
      <w:r w:rsidR="0004698C">
        <w:rPr>
          <w:rFonts w:asciiTheme="majorHAnsi" w:hAnsiTheme="majorHAnsi" w:cstheme="majorHAnsi"/>
          <w:sz w:val="22"/>
          <w:szCs w:val="22"/>
        </w:rPr>
        <w:t>.</w:t>
      </w:r>
    </w:p>
    <w:p w14:paraId="4DF35338" w14:textId="1C27CC8B" w:rsidR="0004698C" w:rsidRPr="00A96634" w:rsidRDefault="0004698C" w:rsidP="00CB6FC5">
      <w:pPr>
        <w:pStyle w:val="Corpodetexto"/>
        <w:rPr>
          <w:rFonts w:asciiTheme="majorHAnsi" w:hAnsiTheme="majorHAnsi" w:cstheme="majorHAnsi"/>
          <w:sz w:val="22"/>
          <w:szCs w:val="22"/>
        </w:rPr>
      </w:pPr>
      <w:r>
        <w:rPr>
          <w:rFonts w:asciiTheme="majorHAnsi" w:hAnsiTheme="majorHAnsi" w:cstheme="majorHAnsi"/>
          <w:sz w:val="22"/>
          <w:szCs w:val="22"/>
        </w:rPr>
        <w:t>Até lá!</w:t>
      </w:r>
    </w:p>
    <w:p w14:paraId="75CF575C" w14:textId="501364DB" w:rsidR="00AB113F" w:rsidRPr="00A96634" w:rsidRDefault="00C2319C" w:rsidP="007D15EF">
      <w:pPr>
        <w:pStyle w:val="Ttulo1"/>
        <w:rPr>
          <w:rFonts w:asciiTheme="majorHAnsi" w:hAnsiTheme="majorHAnsi" w:cstheme="majorHAnsi"/>
          <w:sz w:val="22"/>
          <w:szCs w:val="22"/>
        </w:rPr>
      </w:pPr>
      <w:bookmarkStart w:id="21" w:name="_Toc72261126"/>
      <w:r w:rsidRPr="0004698C">
        <w:rPr>
          <w:rFonts w:asciiTheme="majorHAnsi" w:hAnsiTheme="majorHAnsi" w:cstheme="majorHAnsi"/>
        </w:rPr>
        <w:lastRenderedPageBreak/>
        <w:t>Referências</w:t>
      </w:r>
      <w:bookmarkEnd w:id="21"/>
    </w:p>
    <w:p w14:paraId="3C97E535" w14:textId="77777777" w:rsidR="009101BB" w:rsidRPr="00E00554" w:rsidRDefault="009101BB" w:rsidP="00FE38BC">
      <w:pPr>
        <w:pStyle w:val="Corpodetexto"/>
        <w:rPr>
          <w:rFonts w:asciiTheme="majorHAnsi" w:hAnsiTheme="majorHAnsi" w:cstheme="majorHAnsi"/>
          <w:sz w:val="22"/>
          <w:szCs w:val="22"/>
        </w:rPr>
      </w:pPr>
      <w:bookmarkStart w:id="22" w:name="_Toc71298119"/>
      <w:bookmarkStart w:id="23" w:name="_Toc72244131"/>
      <w:bookmarkStart w:id="24" w:name="_Toc71298120"/>
      <w:bookmarkStart w:id="25" w:name="_Toc72244132"/>
      <w:bookmarkStart w:id="26" w:name="_Toc71298121"/>
      <w:bookmarkStart w:id="27" w:name="_Toc72244133"/>
      <w:bookmarkStart w:id="28" w:name="_Toc71298122"/>
      <w:bookmarkStart w:id="29" w:name="_Toc72244134"/>
      <w:bookmarkEnd w:id="22"/>
      <w:bookmarkEnd w:id="23"/>
      <w:bookmarkEnd w:id="24"/>
      <w:bookmarkEnd w:id="25"/>
      <w:bookmarkEnd w:id="26"/>
      <w:bookmarkEnd w:id="27"/>
      <w:bookmarkEnd w:id="28"/>
      <w:bookmarkEnd w:id="29"/>
      <w:r w:rsidRPr="00E00554">
        <w:rPr>
          <w:rFonts w:asciiTheme="majorHAnsi" w:hAnsiTheme="majorHAnsi" w:cstheme="majorHAnsi"/>
          <w:sz w:val="22"/>
          <w:szCs w:val="22"/>
        </w:rPr>
        <w:t xml:space="preserve">ASSOCIAÇÃO BRASILEIRA DE NORMAS TÉCNICAS. NBR ISO 19011: Diretrizes para auditorias de sistemas de gestão. Rio de Janeiro, 2018. </w:t>
      </w:r>
    </w:p>
    <w:p w14:paraId="2A40E936" w14:textId="77777777" w:rsidR="009101BB" w:rsidRPr="00E00554" w:rsidRDefault="009101BB" w:rsidP="00FE38BC">
      <w:pPr>
        <w:pStyle w:val="Corpodetexto"/>
        <w:rPr>
          <w:rFonts w:asciiTheme="majorHAnsi" w:hAnsiTheme="majorHAnsi" w:cstheme="majorHAnsi"/>
          <w:sz w:val="22"/>
          <w:szCs w:val="22"/>
        </w:rPr>
      </w:pPr>
      <w:r w:rsidRPr="00E00554">
        <w:rPr>
          <w:rFonts w:asciiTheme="majorHAnsi" w:hAnsiTheme="majorHAnsi" w:cstheme="majorHAnsi"/>
          <w:sz w:val="22"/>
          <w:szCs w:val="22"/>
        </w:rPr>
        <w:t>ASSOCIA</w:t>
      </w:r>
      <w:r w:rsidRPr="00E00554">
        <w:rPr>
          <w:rFonts w:asciiTheme="majorHAnsi" w:hAnsiTheme="majorHAnsi" w:cstheme="majorHAnsi" w:hint="eastAsia"/>
          <w:sz w:val="22"/>
          <w:szCs w:val="22"/>
        </w:rPr>
        <w:t>ÇÃ</w:t>
      </w:r>
      <w:r w:rsidRPr="00E00554">
        <w:rPr>
          <w:rFonts w:asciiTheme="majorHAnsi" w:hAnsiTheme="majorHAnsi" w:cstheme="majorHAnsi"/>
          <w:sz w:val="22"/>
          <w:szCs w:val="22"/>
        </w:rPr>
        <w:t>O BRASILEIRA DE NORMAS T</w:t>
      </w:r>
      <w:r w:rsidRPr="00E00554">
        <w:rPr>
          <w:rFonts w:asciiTheme="majorHAnsi" w:hAnsiTheme="majorHAnsi" w:cstheme="majorHAnsi" w:hint="eastAsia"/>
          <w:sz w:val="22"/>
          <w:szCs w:val="22"/>
        </w:rPr>
        <w:t>É</w:t>
      </w:r>
      <w:r w:rsidRPr="00E00554">
        <w:rPr>
          <w:rFonts w:asciiTheme="majorHAnsi" w:hAnsiTheme="majorHAnsi" w:cstheme="majorHAnsi"/>
          <w:sz w:val="22"/>
          <w:szCs w:val="22"/>
        </w:rPr>
        <w:t>CNICAS.</w:t>
      </w:r>
      <w:r w:rsidRPr="00E00554">
        <w:rPr>
          <w:rFonts w:asciiTheme="majorHAnsi" w:hAnsiTheme="majorHAnsi" w:cstheme="majorHAnsi" w:hint="eastAsia"/>
          <w:sz w:val="22"/>
          <w:szCs w:val="22"/>
        </w:rPr>
        <w:t> </w:t>
      </w:r>
      <w:r w:rsidRPr="00E00554">
        <w:rPr>
          <w:rFonts w:asciiTheme="majorHAnsi" w:hAnsiTheme="majorHAnsi" w:cstheme="majorHAnsi"/>
          <w:sz w:val="22"/>
          <w:szCs w:val="22"/>
        </w:rPr>
        <w:t xml:space="preserve">NBR ISO/IEC 17011: Avaliação da conformidade - Requisitos para os organismos de acreditação que </w:t>
      </w:r>
      <w:proofErr w:type="gramStart"/>
      <w:r w:rsidRPr="00E00554">
        <w:rPr>
          <w:rFonts w:asciiTheme="majorHAnsi" w:hAnsiTheme="majorHAnsi" w:cstheme="majorHAnsi"/>
          <w:sz w:val="22"/>
          <w:szCs w:val="22"/>
        </w:rPr>
        <w:t>acreditam</w:t>
      </w:r>
      <w:proofErr w:type="gramEnd"/>
      <w:r w:rsidRPr="00E00554">
        <w:rPr>
          <w:rFonts w:asciiTheme="majorHAnsi" w:hAnsiTheme="majorHAnsi" w:cstheme="majorHAnsi"/>
          <w:sz w:val="22"/>
          <w:szCs w:val="22"/>
        </w:rPr>
        <w:t xml:space="preserve"> organismos de avaliação da conformidade. Rio de Janeiro, 2019.</w:t>
      </w:r>
    </w:p>
    <w:p w14:paraId="173F96FC" w14:textId="77777777" w:rsidR="009101BB" w:rsidRPr="004A2C20" w:rsidRDefault="009101BB" w:rsidP="00FE38BC">
      <w:pPr>
        <w:pStyle w:val="Corpodetexto"/>
        <w:rPr>
          <w:rFonts w:asciiTheme="majorHAnsi" w:hAnsiTheme="majorHAnsi" w:cstheme="majorHAnsi"/>
          <w:sz w:val="22"/>
          <w:szCs w:val="22"/>
        </w:rPr>
      </w:pPr>
      <w:proofErr w:type="gramStart"/>
      <w:r w:rsidRPr="004A2C20">
        <w:rPr>
          <w:rFonts w:asciiTheme="majorHAnsi" w:hAnsiTheme="majorHAnsi" w:cstheme="majorHAnsi"/>
          <w:sz w:val="22"/>
          <w:szCs w:val="22"/>
        </w:rPr>
        <w:t>ASSOCIAÇÃO  BRASILEIRA</w:t>
      </w:r>
      <w:proofErr w:type="gramEnd"/>
      <w:r w:rsidRPr="004A2C20">
        <w:rPr>
          <w:rFonts w:asciiTheme="majorHAnsi" w:hAnsiTheme="majorHAnsi" w:cstheme="majorHAnsi"/>
          <w:sz w:val="22"/>
          <w:szCs w:val="22"/>
        </w:rPr>
        <w:t xml:space="preserve">  DE  NORMAS  TÉCNICAS. Disponível em: &lt;http://www.abnt.org.br&gt; Acesso em: 18/05/2021.</w:t>
      </w:r>
    </w:p>
    <w:p w14:paraId="7D8FF744" w14:textId="77777777" w:rsidR="009101BB" w:rsidRPr="004A2C20" w:rsidRDefault="009101BB" w:rsidP="00FE38BC">
      <w:pPr>
        <w:pStyle w:val="Corpodetexto"/>
        <w:rPr>
          <w:rFonts w:asciiTheme="majorHAnsi" w:hAnsiTheme="majorHAnsi" w:cstheme="majorHAnsi"/>
          <w:sz w:val="22"/>
          <w:szCs w:val="22"/>
        </w:rPr>
      </w:pPr>
      <w:proofErr w:type="gramStart"/>
      <w:r w:rsidRPr="004A2C20">
        <w:rPr>
          <w:rFonts w:asciiTheme="majorHAnsi" w:hAnsiTheme="majorHAnsi" w:cstheme="majorHAnsi"/>
          <w:sz w:val="22"/>
          <w:szCs w:val="22"/>
        </w:rPr>
        <w:t>ASSOCIAÇÃO  BRASILEIRA</w:t>
      </w:r>
      <w:proofErr w:type="gramEnd"/>
      <w:r w:rsidRPr="004A2C20">
        <w:rPr>
          <w:rFonts w:asciiTheme="majorHAnsi" w:hAnsiTheme="majorHAnsi" w:cstheme="majorHAnsi"/>
          <w:sz w:val="22"/>
          <w:szCs w:val="22"/>
        </w:rPr>
        <w:t xml:space="preserve">  DE  NORMAS  TÉCNICAS.  NBR ISO 9000: sistemas de gestão da qualidade: fundamentos e vocabulário. Rio de Janeiro, 2015. </w:t>
      </w:r>
    </w:p>
    <w:p w14:paraId="170DF4F9" w14:textId="77777777" w:rsidR="009101BB" w:rsidRPr="004A2C20" w:rsidRDefault="009101BB" w:rsidP="00FE38BC">
      <w:pPr>
        <w:pStyle w:val="Corpodetexto"/>
        <w:rPr>
          <w:rFonts w:asciiTheme="majorHAnsi" w:hAnsiTheme="majorHAnsi" w:cstheme="majorHAnsi"/>
          <w:sz w:val="22"/>
          <w:szCs w:val="22"/>
        </w:rPr>
      </w:pPr>
      <w:proofErr w:type="gramStart"/>
      <w:r w:rsidRPr="004A2C20">
        <w:rPr>
          <w:rFonts w:asciiTheme="majorHAnsi" w:hAnsiTheme="majorHAnsi" w:cstheme="majorHAnsi"/>
          <w:sz w:val="22"/>
          <w:szCs w:val="22"/>
        </w:rPr>
        <w:t>ASSOCIAÇÃO  BRASILEIRA</w:t>
      </w:r>
      <w:proofErr w:type="gramEnd"/>
      <w:r w:rsidRPr="004A2C20">
        <w:rPr>
          <w:rFonts w:asciiTheme="majorHAnsi" w:hAnsiTheme="majorHAnsi" w:cstheme="majorHAnsi"/>
          <w:sz w:val="22"/>
          <w:szCs w:val="22"/>
        </w:rPr>
        <w:t xml:space="preserve">  DE  NORMAS  TÉCNICAS.  NBR ISO</w:t>
      </w:r>
      <w:r>
        <w:rPr>
          <w:rFonts w:asciiTheme="majorHAnsi" w:hAnsiTheme="majorHAnsi" w:cstheme="majorHAnsi"/>
          <w:sz w:val="22"/>
          <w:szCs w:val="22"/>
        </w:rPr>
        <w:t>/</w:t>
      </w:r>
      <w:r w:rsidRPr="004A2C20">
        <w:rPr>
          <w:rFonts w:asciiTheme="majorHAnsi" w:hAnsiTheme="majorHAnsi" w:cstheme="majorHAnsi"/>
          <w:sz w:val="22"/>
          <w:szCs w:val="22"/>
        </w:rPr>
        <w:t>IEC 17000: avaliação de conformidade: vocabulário e princípios gerais. Rio de Janeiro, 2005.</w:t>
      </w:r>
    </w:p>
    <w:p w14:paraId="0D7BC54F" w14:textId="77777777" w:rsidR="009101BB" w:rsidRPr="004A2C20" w:rsidRDefault="009101BB" w:rsidP="00FE38BC">
      <w:pPr>
        <w:pStyle w:val="Corpodetexto"/>
        <w:rPr>
          <w:rFonts w:asciiTheme="majorHAnsi" w:hAnsiTheme="majorHAnsi" w:cstheme="majorHAnsi"/>
          <w:sz w:val="22"/>
          <w:szCs w:val="22"/>
        </w:rPr>
      </w:pPr>
      <w:r w:rsidRPr="004A2C20">
        <w:rPr>
          <w:rFonts w:asciiTheme="majorHAnsi" w:hAnsiTheme="majorHAnsi" w:cstheme="majorHAnsi"/>
          <w:sz w:val="22"/>
          <w:szCs w:val="22"/>
        </w:rPr>
        <w:t>BRITISH    STANDARDS    INSTITUTION.    Disponível    em: &lt;http://ww w.bsi-global.com&gt; Acesso em: 18/05/2021.</w:t>
      </w:r>
    </w:p>
    <w:p w14:paraId="604D1ACC" w14:textId="77777777" w:rsidR="009101BB" w:rsidRPr="004A2C20" w:rsidRDefault="009101BB" w:rsidP="00FE38BC">
      <w:pPr>
        <w:pStyle w:val="Corpodetexto"/>
        <w:rPr>
          <w:rFonts w:asciiTheme="majorHAnsi" w:hAnsiTheme="majorHAnsi" w:cstheme="majorHAnsi"/>
          <w:sz w:val="22"/>
          <w:szCs w:val="22"/>
        </w:rPr>
      </w:pPr>
      <w:r w:rsidRPr="004A2C20">
        <w:rPr>
          <w:rFonts w:asciiTheme="majorHAnsi" w:hAnsiTheme="majorHAnsi" w:cstheme="majorHAnsi"/>
          <w:sz w:val="22"/>
          <w:szCs w:val="22"/>
        </w:rPr>
        <w:t xml:space="preserve">CONFEDERAÇÃO NACIONAL DA INDÚSTRIA. Normalização: conhecendo e aplicando na </w:t>
      </w:r>
      <w:proofErr w:type="gramStart"/>
      <w:r w:rsidRPr="004A2C20">
        <w:rPr>
          <w:rFonts w:asciiTheme="majorHAnsi" w:hAnsiTheme="majorHAnsi" w:cstheme="majorHAnsi"/>
          <w:sz w:val="22"/>
          <w:szCs w:val="22"/>
        </w:rPr>
        <w:t>sua  empresa</w:t>
      </w:r>
      <w:proofErr w:type="gramEnd"/>
      <w:r w:rsidRPr="004A2C20">
        <w:rPr>
          <w:rFonts w:asciiTheme="majorHAnsi" w:hAnsiTheme="majorHAnsi" w:cstheme="majorHAnsi"/>
          <w:sz w:val="22"/>
          <w:szCs w:val="22"/>
        </w:rPr>
        <w:t>.  Brasília:  CNI, 2002.</w:t>
      </w:r>
    </w:p>
    <w:p w14:paraId="0909FFAB" w14:textId="77777777" w:rsidR="009101BB" w:rsidRPr="004A2C20" w:rsidRDefault="009101BB" w:rsidP="00FE38BC">
      <w:pPr>
        <w:pStyle w:val="Corpodetexto"/>
        <w:rPr>
          <w:rFonts w:asciiTheme="majorHAnsi" w:hAnsiTheme="majorHAnsi" w:cstheme="majorHAnsi"/>
          <w:sz w:val="22"/>
          <w:szCs w:val="22"/>
        </w:rPr>
      </w:pPr>
      <w:r w:rsidRPr="004A2C20">
        <w:rPr>
          <w:rFonts w:asciiTheme="majorHAnsi" w:hAnsiTheme="majorHAnsi" w:cstheme="majorHAnsi"/>
          <w:sz w:val="22"/>
          <w:szCs w:val="22"/>
        </w:rPr>
        <w:t>CONSELHO NACIONAL DE METROLOGIA, NORMALIZAÇÃO E QUALIDADE INDUSTRIAL. Guia   de   boas   práticas   de regulamentação. Rio de Janeiro, 2007.</w:t>
      </w:r>
    </w:p>
    <w:p w14:paraId="5FA20AC0" w14:textId="77777777" w:rsidR="009101BB" w:rsidRPr="004A2C20" w:rsidRDefault="009101BB" w:rsidP="00FE38BC">
      <w:pPr>
        <w:pStyle w:val="Corpodetexto"/>
        <w:rPr>
          <w:rFonts w:asciiTheme="majorHAnsi" w:hAnsiTheme="majorHAnsi" w:cstheme="majorHAnsi"/>
          <w:sz w:val="22"/>
          <w:szCs w:val="22"/>
        </w:rPr>
      </w:pPr>
      <w:r w:rsidRPr="004A2C20">
        <w:rPr>
          <w:rFonts w:asciiTheme="majorHAnsi" w:hAnsiTheme="majorHAnsi" w:cstheme="majorHAnsi"/>
          <w:sz w:val="22"/>
          <w:szCs w:val="22"/>
        </w:rPr>
        <w:t xml:space="preserve">GARRIDO, Alexandre. Técnicas de auditoria. 2002. </w:t>
      </w:r>
    </w:p>
    <w:p w14:paraId="66835A77" w14:textId="77777777" w:rsidR="009101BB" w:rsidRPr="004A2C20" w:rsidRDefault="009101BB" w:rsidP="00FE38BC">
      <w:pPr>
        <w:pStyle w:val="Corpodetexto"/>
        <w:rPr>
          <w:rFonts w:asciiTheme="majorHAnsi" w:hAnsiTheme="majorHAnsi" w:cstheme="majorHAnsi"/>
          <w:sz w:val="22"/>
          <w:szCs w:val="22"/>
        </w:rPr>
      </w:pPr>
      <w:r w:rsidRPr="004A2C20">
        <w:rPr>
          <w:rFonts w:asciiTheme="majorHAnsi" w:hAnsiTheme="majorHAnsi" w:cstheme="majorHAnsi"/>
          <w:sz w:val="22"/>
          <w:szCs w:val="22"/>
        </w:rPr>
        <w:t>INSTITUTO DE PESQUISA E DESENVOLVIMENTO TECNOLÓGICO DA INDÚSTRIA DE MÁQUINAS E EQUIPAMENTOS. Tecnologia industrial básica: diretrizes para o setor de máquinas e equipamentos. São Paulo: IPDMAQ, 2008.</w:t>
      </w:r>
    </w:p>
    <w:p w14:paraId="58326497" w14:textId="77777777" w:rsidR="009101BB" w:rsidRPr="004A2C20" w:rsidRDefault="009101BB" w:rsidP="00FE38BC">
      <w:pPr>
        <w:pStyle w:val="Corpodetexto"/>
        <w:rPr>
          <w:rFonts w:asciiTheme="majorHAnsi" w:hAnsiTheme="majorHAnsi" w:cstheme="majorHAnsi"/>
          <w:sz w:val="22"/>
          <w:szCs w:val="22"/>
        </w:rPr>
      </w:pPr>
      <w:r w:rsidRPr="004A2C20">
        <w:rPr>
          <w:rFonts w:asciiTheme="majorHAnsi" w:hAnsiTheme="majorHAnsi" w:cstheme="majorHAnsi"/>
          <w:sz w:val="22"/>
          <w:szCs w:val="22"/>
        </w:rPr>
        <w:t>INSTITUTO NACIONAL DE METROLOGIA, QUALIDADE E TECNOLOGIA – INMETRO. Barreiras Técnicas às Exportações – O que são e como superá-las. 3° ed. Rio de Janeiro: 2009.</w:t>
      </w:r>
    </w:p>
    <w:p w14:paraId="2049DB23" w14:textId="77777777" w:rsidR="009101BB" w:rsidRPr="004A2C20" w:rsidRDefault="009101BB" w:rsidP="00FE38BC">
      <w:pPr>
        <w:pStyle w:val="Corpodetexto"/>
        <w:rPr>
          <w:rFonts w:asciiTheme="majorHAnsi" w:hAnsiTheme="majorHAnsi" w:cstheme="majorHAnsi"/>
          <w:sz w:val="22"/>
          <w:szCs w:val="22"/>
        </w:rPr>
      </w:pPr>
      <w:r w:rsidRPr="004A2C20">
        <w:rPr>
          <w:rFonts w:asciiTheme="majorHAnsi" w:hAnsiTheme="majorHAnsi" w:cstheme="majorHAnsi"/>
          <w:sz w:val="22"/>
          <w:szCs w:val="22"/>
        </w:rPr>
        <w:t>INSTITUTO NACIONAL DE METROLOGIA, QUALIDADE E TECNOLOGIA – INMETRO. Avaliação da Conformidade. 6° ed. Rio de Janeiro: 2015.</w:t>
      </w:r>
    </w:p>
    <w:p w14:paraId="4C687EDE" w14:textId="77777777" w:rsidR="009101BB" w:rsidRPr="004A2C20" w:rsidRDefault="009101BB" w:rsidP="00FE38BC">
      <w:pPr>
        <w:pStyle w:val="Corpodetexto"/>
        <w:rPr>
          <w:rFonts w:asciiTheme="majorHAnsi" w:hAnsiTheme="majorHAnsi" w:cstheme="majorHAnsi"/>
          <w:sz w:val="22"/>
          <w:szCs w:val="22"/>
        </w:rPr>
      </w:pPr>
      <w:r w:rsidRPr="004A2C20">
        <w:rPr>
          <w:rFonts w:asciiTheme="majorHAnsi" w:hAnsiTheme="majorHAnsi" w:cstheme="majorHAnsi"/>
          <w:sz w:val="22"/>
          <w:szCs w:val="22"/>
        </w:rPr>
        <w:t>INSTITUTO NACIONAL DE METROLOGIA, QUALIDADE E TECNOLOGIA – INMETRO. Disponível em: &lt;http://www.inmetro.gov.br&gt; Acesso em 18/05/2021.</w:t>
      </w:r>
    </w:p>
    <w:p w14:paraId="3B8B8581" w14:textId="414A832E" w:rsidR="002878DB" w:rsidRPr="00A96634" w:rsidRDefault="009101BB" w:rsidP="00C933F5">
      <w:pPr>
        <w:pStyle w:val="Corpodetexto"/>
        <w:rPr>
          <w:rFonts w:asciiTheme="majorHAnsi" w:hAnsiTheme="majorHAnsi" w:cstheme="majorHAnsi"/>
        </w:rPr>
      </w:pPr>
      <w:r w:rsidRPr="004A2C20">
        <w:rPr>
          <w:rFonts w:asciiTheme="majorHAnsi" w:hAnsiTheme="majorHAnsi" w:cstheme="majorHAnsi"/>
          <w:sz w:val="22"/>
          <w:szCs w:val="22"/>
        </w:rPr>
        <w:t>INTERNATIONAL ACCREDITATION FORUM – IAF. Disponível em: &lt;http://www.iaf.nu/upFiles/IAF_B2_12012_portuguese.pdf&gt; Acesso em 18/05/2021.</w:t>
      </w:r>
    </w:p>
    <w:sectPr w:rsidR="002878DB" w:rsidRPr="00A96634" w:rsidSect="00A55AB6">
      <w:headerReference w:type="default" r:id="rId32"/>
      <w:footerReference w:type="default" r:id="rId33"/>
      <w:pgSz w:w="11906" w:h="16838"/>
      <w:pgMar w:top="1276" w:right="1701" w:bottom="993" w:left="1701" w:header="708" w:footer="1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C1F85" w14:textId="77777777" w:rsidR="0088008C" w:rsidRDefault="0088008C" w:rsidP="004926DF">
      <w:pPr>
        <w:spacing w:after="0" w:line="240" w:lineRule="auto"/>
      </w:pPr>
      <w:r>
        <w:separator/>
      </w:r>
    </w:p>
  </w:endnote>
  <w:endnote w:type="continuationSeparator" w:id="0">
    <w:p w14:paraId="1BE189D5" w14:textId="77777777" w:rsidR="0088008C" w:rsidRDefault="0088008C" w:rsidP="00492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8022109"/>
      <w:docPartObj>
        <w:docPartGallery w:val="Page Numbers (Bottom of Page)"/>
        <w:docPartUnique/>
      </w:docPartObj>
    </w:sdtPr>
    <w:sdtEndPr/>
    <w:sdtContent>
      <w:p w14:paraId="1F469C56" w14:textId="7C2C7347" w:rsidR="001B42A6" w:rsidRDefault="001B42A6">
        <w:pPr>
          <w:pStyle w:val="Rodap"/>
          <w:jc w:val="right"/>
        </w:pPr>
        <w:r>
          <w:fldChar w:fldCharType="begin"/>
        </w:r>
        <w:r>
          <w:instrText>PAGE   \* MERGEFORMAT</w:instrText>
        </w:r>
        <w:r>
          <w:fldChar w:fldCharType="separate"/>
        </w:r>
        <w:r w:rsidR="002761C5">
          <w:rPr>
            <w:noProof/>
          </w:rPr>
          <w:t>2</w:t>
        </w:r>
        <w:r>
          <w:fldChar w:fldCharType="end"/>
        </w:r>
      </w:p>
    </w:sdtContent>
  </w:sdt>
  <w:p w14:paraId="61B5F246" w14:textId="77777777" w:rsidR="001B42A6" w:rsidRDefault="001B42A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1C5E6" w14:textId="77777777" w:rsidR="0088008C" w:rsidRDefault="0088008C" w:rsidP="004926DF">
      <w:pPr>
        <w:spacing w:after="0" w:line="240" w:lineRule="auto"/>
      </w:pPr>
      <w:r>
        <w:separator/>
      </w:r>
    </w:p>
  </w:footnote>
  <w:footnote w:type="continuationSeparator" w:id="0">
    <w:p w14:paraId="12A18BCA" w14:textId="77777777" w:rsidR="0088008C" w:rsidRDefault="0088008C" w:rsidP="00492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2AF03" w14:textId="4A970137" w:rsidR="001B42A6" w:rsidRDefault="005567A8">
    <w:pPr>
      <w:pStyle w:val="Cabealho"/>
    </w:pPr>
    <w:r>
      <w:rPr>
        <w:noProof/>
        <w:lang w:eastAsia="pt-BR"/>
      </w:rPr>
      <w:drawing>
        <wp:anchor distT="0" distB="0" distL="114300" distR="114300" simplePos="0" relativeHeight="251659264" behindDoc="1" locked="0" layoutInCell="1" allowOverlap="1" wp14:anchorId="773D90A4" wp14:editId="225CC014">
          <wp:simplePos x="0" y="0"/>
          <wp:positionH relativeFrom="margin">
            <wp:align>left</wp:align>
          </wp:positionH>
          <wp:positionV relativeFrom="paragraph">
            <wp:posOffset>-160020</wp:posOffset>
          </wp:positionV>
          <wp:extent cx="5400040" cy="260118"/>
          <wp:effectExtent l="0" t="0" r="0" b="6985"/>
          <wp:wrapNone/>
          <wp:docPr id="11" name="Imagem 11" descr="http://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60118"/>
                  </a:xfrm>
                  <a:prstGeom prst="rect">
                    <a:avLst/>
                  </a:prstGeom>
                  <a:noFill/>
                  <a:ln>
                    <a:noFill/>
                  </a:ln>
                </pic:spPr>
              </pic:pic>
            </a:graphicData>
          </a:graphic>
          <wp14:sizeRelH relativeFrom="page">
            <wp14:pctWidth>0</wp14:pctWidth>
          </wp14:sizeRelH>
          <wp14:sizeRelV relativeFrom="page">
            <wp14:pctHeight>0</wp14:pctHeight>
          </wp14:sizeRelV>
        </wp:anchor>
      </w:drawing>
    </w:r>
    <w:r w:rsidR="001B42A6" w:rsidRPr="004926DF">
      <w:rPr>
        <w:noProof/>
        <w:lang w:eastAsia="pt-BR"/>
      </w:rPr>
      <w:drawing>
        <wp:anchor distT="0" distB="0" distL="114300" distR="114300" simplePos="0" relativeHeight="251658240" behindDoc="1" locked="0" layoutInCell="1" allowOverlap="1" wp14:anchorId="473955F0" wp14:editId="73F75C7F">
          <wp:simplePos x="0" y="0"/>
          <wp:positionH relativeFrom="page">
            <wp:align>left</wp:align>
          </wp:positionH>
          <wp:positionV relativeFrom="paragraph">
            <wp:posOffset>-449580</wp:posOffset>
          </wp:positionV>
          <wp:extent cx="7547188" cy="10675620"/>
          <wp:effectExtent l="0" t="0" r="0" b="0"/>
          <wp:wrapNone/>
          <wp:docPr id="13" name="Imagem 13" descr="C:\Users\Aline\Desktop\SBM - folha_de_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0654" cy="1068052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82977"/>
    <w:multiLevelType w:val="hybridMultilevel"/>
    <w:tmpl w:val="CE7AC334"/>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 w15:restartNumberingAfterBreak="0">
    <w:nsid w:val="15656E31"/>
    <w:multiLevelType w:val="hybridMultilevel"/>
    <w:tmpl w:val="55867F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0F5F63"/>
    <w:multiLevelType w:val="hybridMultilevel"/>
    <w:tmpl w:val="D0D05DFC"/>
    <w:lvl w:ilvl="0" w:tplc="E0BAE37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DD22FB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E13CA3"/>
    <w:multiLevelType w:val="hybridMultilevel"/>
    <w:tmpl w:val="0D0028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3825159"/>
    <w:multiLevelType w:val="hybridMultilevel"/>
    <w:tmpl w:val="3618B8D6"/>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6" w15:restartNumberingAfterBreak="0">
    <w:nsid w:val="34316705"/>
    <w:multiLevelType w:val="hybridMultilevel"/>
    <w:tmpl w:val="00422B1C"/>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7" w15:restartNumberingAfterBreak="0">
    <w:nsid w:val="37340108"/>
    <w:multiLevelType w:val="hybridMultilevel"/>
    <w:tmpl w:val="192624C4"/>
    <w:lvl w:ilvl="0" w:tplc="F7AE99A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742140F"/>
    <w:multiLevelType w:val="multilevel"/>
    <w:tmpl w:val="BA96A80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8D9186E"/>
    <w:multiLevelType w:val="hybridMultilevel"/>
    <w:tmpl w:val="BD668B0A"/>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0" w15:restartNumberingAfterBreak="0">
    <w:nsid w:val="3A575D08"/>
    <w:multiLevelType w:val="multilevel"/>
    <w:tmpl w:val="446E8D86"/>
    <w:lvl w:ilvl="0">
      <w:start w:val="1"/>
      <w:numFmt w:val="decimal"/>
      <w:lvlText w:val="%1."/>
      <w:lvlJc w:val="left"/>
      <w:pPr>
        <w:ind w:left="360" w:hanging="360"/>
      </w:pPr>
      <w:rPr>
        <w:rFonts w:hint="default"/>
        <w:spacing w:val="40"/>
        <w:sz w:val="28"/>
        <w:szCs w:val="28"/>
        <w14:numSpacing w14:val="proportional"/>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5B2BE2"/>
    <w:multiLevelType w:val="multilevel"/>
    <w:tmpl w:val="36DE72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AA6A1A"/>
    <w:multiLevelType w:val="hybridMultilevel"/>
    <w:tmpl w:val="6DCC82B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1EF7A83"/>
    <w:multiLevelType w:val="hybridMultilevel"/>
    <w:tmpl w:val="9EEC2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63F7C8A"/>
    <w:multiLevelType w:val="hybridMultilevel"/>
    <w:tmpl w:val="FF3C69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8225FBA"/>
    <w:multiLevelType w:val="hybridMultilevel"/>
    <w:tmpl w:val="44000850"/>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6" w15:restartNumberingAfterBreak="0">
    <w:nsid w:val="5C5156A3"/>
    <w:multiLevelType w:val="hybridMultilevel"/>
    <w:tmpl w:val="D0D05DFC"/>
    <w:lvl w:ilvl="0" w:tplc="E0BAE37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7D8216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BCB0EF7"/>
    <w:multiLevelType w:val="hybridMultilevel"/>
    <w:tmpl w:val="A1CCB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886A02"/>
    <w:multiLevelType w:val="multilevel"/>
    <w:tmpl w:val="F252B5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8BB64DE"/>
    <w:multiLevelType w:val="multilevel"/>
    <w:tmpl w:val="BEC03E4C"/>
    <w:lvl w:ilvl="0">
      <w:start w:val="1"/>
      <w:numFmt w:val="decimal"/>
      <w:lvlText w:val="%1."/>
      <w:lvlJc w:val="left"/>
      <w:pPr>
        <w:ind w:left="720" w:hanging="360"/>
      </w:pPr>
      <w:rPr>
        <w:rFonts w:hint="default"/>
        <w:color w:val="0066B2" w:themeColor="accent1"/>
        <w:spacing w:val="40"/>
        <w14:numSpacing w14:val="proportional"/>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16"/>
  </w:num>
  <w:num w:numId="3">
    <w:abstractNumId w:val="1"/>
  </w:num>
  <w:num w:numId="4">
    <w:abstractNumId w:val="2"/>
  </w:num>
  <w:num w:numId="5">
    <w:abstractNumId w:val="9"/>
  </w:num>
  <w:num w:numId="6">
    <w:abstractNumId w:val="20"/>
  </w:num>
  <w:num w:numId="7">
    <w:abstractNumId w:val="4"/>
  </w:num>
  <w:num w:numId="8">
    <w:abstractNumId w:val="14"/>
  </w:num>
  <w:num w:numId="9">
    <w:abstractNumId w:val="10"/>
  </w:num>
  <w:num w:numId="10">
    <w:abstractNumId w:val="19"/>
  </w:num>
  <w:num w:numId="11">
    <w:abstractNumId w:val="11"/>
  </w:num>
  <w:num w:numId="12">
    <w:abstractNumId w:val="17"/>
  </w:num>
  <w:num w:numId="13">
    <w:abstractNumId w:val="7"/>
  </w:num>
  <w:num w:numId="14">
    <w:abstractNumId w:val="15"/>
  </w:num>
  <w:num w:numId="15">
    <w:abstractNumId w:val="5"/>
  </w:num>
  <w:num w:numId="16">
    <w:abstractNumId w:val="6"/>
  </w:num>
  <w:num w:numId="17">
    <w:abstractNumId w:val="0"/>
  </w:num>
  <w:num w:numId="18">
    <w:abstractNumId w:val="8"/>
  </w:num>
  <w:num w:numId="19">
    <w:abstractNumId w:val="12"/>
  </w:num>
  <w:num w:numId="20">
    <w:abstractNumId w:val="18"/>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0DF"/>
    <w:rsid w:val="00036A23"/>
    <w:rsid w:val="000404DD"/>
    <w:rsid w:val="0004698C"/>
    <w:rsid w:val="00057970"/>
    <w:rsid w:val="00073A43"/>
    <w:rsid w:val="00077344"/>
    <w:rsid w:val="000868E3"/>
    <w:rsid w:val="0009494E"/>
    <w:rsid w:val="00095F93"/>
    <w:rsid w:val="00126227"/>
    <w:rsid w:val="00133904"/>
    <w:rsid w:val="0015217B"/>
    <w:rsid w:val="00187FA8"/>
    <w:rsid w:val="001B42A6"/>
    <w:rsid w:val="001C2974"/>
    <w:rsid w:val="002008F8"/>
    <w:rsid w:val="0020397F"/>
    <w:rsid w:val="002213EB"/>
    <w:rsid w:val="00241497"/>
    <w:rsid w:val="0024353E"/>
    <w:rsid w:val="00265A61"/>
    <w:rsid w:val="00273E0A"/>
    <w:rsid w:val="002761C5"/>
    <w:rsid w:val="002831CF"/>
    <w:rsid w:val="002878DB"/>
    <w:rsid w:val="002A276C"/>
    <w:rsid w:val="003468D7"/>
    <w:rsid w:val="00396DC4"/>
    <w:rsid w:val="003D5579"/>
    <w:rsid w:val="003E31AF"/>
    <w:rsid w:val="003E624C"/>
    <w:rsid w:val="00487ED1"/>
    <w:rsid w:val="004926DF"/>
    <w:rsid w:val="00493F87"/>
    <w:rsid w:val="004B588D"/>
    <w:rsid w:val="004C1619"/>
    <w:rsid w:val="004C778A"/>
    <w:rsid w:val="005249BA"/>
    <w:rsid w:val="005534D3"/>
    <w:rsid w:val="005567A8"/>
    <w:rsid w:val="0056002B"/>
    <w:rsid w:val="00580828"/>
    <w:rsid w:val="005C18FC"/>
    <w:rsid w:val="005F746E"/>
    <w:rsid w:val="00677E4A"/>
    <w:rsid w:val="00680EF2"/>
    <w:rsid w:val="00696E59"/>
    <w:rsid w:val="006E5474"/>
    <w:rsid w:val="007112F4"/>
    <w:rsid w:val="007202C9"/>
    <w:rsid w:val="007539DD"/>
    <w:rsid w:val="00765307"/>
    <w:rsid w:val="0077256F"/>
    <w:rsid w:val="00773688"/>
    <w:rsid w:val="007C454A"/>
    <w:rsid w:val="007D15EF"/>
    <w:rsid w:val="007F343C"/>
    <w:rsid w:val="00802FFE"/>
    <w:rsid w:val="0081617D"/>
    <w:rsid w:val="008422EE"/>
    <w:rsid w:val="0086104A"/>
    <w:rsid w:val="008767C0"/>
    <w:rsid w:val="0088008C"/>
    <w:rsid w:val="00881E7C"/>
    <w:rsid w:val="008D2A18"/>
    <w:rsid w:val="008D5995"/>
    <w:rsid w:val="009101BB"/>
    <w:rsid w:val="009151B8"/>
    <w:rsid w:val="009157F7"/>
    <w:rsid w:val="00972B91"/>
    <w:rsid w:val="00985C69"/>
    <w:rsid w:val="009956BD"/>
    <w:rsid w:val="009A3630"/>
    <w:rsid w:val="009F295B"/>
    <w:rsid w:val="00A42FEC"/>
    <w:rsid w:val="00A55AB6"/>
    <w:rsid w:val="00A64EF8"/>
    <w:rsid w:val="00A944CF"/>
    <w:rsid w:val="00A96634"/>
    <w:rsid w:val="00AB113F"/>
    <w:rsid w:val="00AC0A9D"/>
    <w:rsid w:val="00AE0D43"/>
    <w:rsid w:val="00AF64B2"/>
    <w:rsid w:val="00AF658F"/>
    <w:rsid w:val="00B647BC"/>
    <w:rsid w:val="00B91557"/>
    <w:rsid w:val="00BA5687"/>
    <w:rsid w:val="00BB113A"/>
    <w:rsid w:val="00BE7042"/>
    <w:rsid w:val="00BE72D3"/>
    <w:rsid w:val="00C2319C"/>
    <w:rsid w:val="00C44334"/>
    <w:rsid w:val="00C469EC"/>
    <w:rsid w:val="00C933F5"/>
    <w:rsid w:val="00CB6FC5"/>
    <w:rsid w:val="00CE4CA3"/>
    <w:rsid w:val="00D000B3"/>
    <w:rsid w:val="00D01281"/>
    <w:rsid w:val="00D111F3"/>
    <w:rsid w:val="00D12481"/>
    <w:rsid w:val="00D246EC"/>
    <w:rsid w:val="00D36284"/>
    <w:rsid w:val="00D37F14"/>
    <w:rsid w:val="00D500F8"/>
    <w:rsid w:val="00DB0871"/>
    <w:rsid w:val="00DB19CA"/>
    <w:rsid w:val="00DE1AFE"/>
    <w:rsid w:val="00E046CE"/>
    <w:rsid w:val="00E3513D"/>
    <w:rsid w:val="00E47392"/>
    <w:rsid w:val="00E568BA"/>
    <w:rsid w:val="00E57769"/>
    <w:rsid w:val="00EC4D61"/>
    <w:rsid w:val="00F265D7"/>
    <w:rsid w:val="00F3309B"/>
    <w:rsid w:val="00F720C0"/>
    <w:rsid w:val="00F75B65"/>
    <w:rsid w:val="00FA50DF"/>
    <w:rsid w:val="00FE38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289CC5"/>
  <w15:chartTrackingRefBased/>
  <w15:docId w15:val="{94DA4AA6-7D3D-4833-BE39-BF588ACA4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C2319C"/>
    <w:pPr>
      <w:keepNext/>
      <w:keepLines/>
      <w:spacing w:before="240" w:after="240" w:line="360" w:lineRule="auto"/>
      <w:outlineLvl w:val="0"/>
    </w:pPr>
    <w:rPr>
      <w:rFonts w:ascii="Calibri Light" w:eastAsiaTheme="majorEastAsia" w:hAnsi="Calibri Light" w:cstheme="majorBidi"/>
      <w:b/>
      <w:color w:val="0066B2" w:themeColor="accent1"/>
      <w:sz w:val="32"/>
      <w:szCs w:val="32"/>
    </w:rPr>
  </w:style>
  <w:style w:type="paragraph" w:styleId="Ttulo2">
    <w:name w:val="heading 2"/>
    <w:basedOn w:val="Subttulo"/>
    <w:link w:val="Ttulo2Char"/>
    <w:uiPriority w:val="1"/>
    <w:qFormat/>
    <w:rsid w:val="00E57769"/>
    <w:pPr>
      <w:widowControl w:val="0"/>
      <w:spacing w:before="100" w:beforeAutospacing="1" w:after="100" w:afterAutospacing="1" w:line="240" w:lineRule="auto"/>
      <w:ind w:left="686" w:hanging="686"/>
      <w:outlineLvl w:val="1"/>
    </w:pPr>
    <w:rPr>
      <w:rFonts w:ascii="Calibri Light" w:eastAsia="Franklin Gothic Medium" w:hAnsi="Calibri Light"/>
      <w:b/>
      <w:color w:val="0066B2" w:themeColor="accent1"/>
      <w:spacing w:val="0"/>
      <w:sz w:val="28"/>
      <w:szCs w:val="36"/>
      <w:lang w:val="en-US"/>
    </w:rPr>
  </w:style>
  <w:style w:type="paragraph" w:styleId="Ttulo3">
    <w:name w:val="heading 3"/>
    <w:basedOn w:val="Normal"/>
    <w:link w:val="Ttulo3Char"/>
    <w:uiPriority w:val="1"/>
    <w:qFormat/>
    <w:rsid w:val="002878DB"/>
    <w:pPr>
      <w:widowControl w:val="0"/>
      <w:spacing w:before="100" w:beforeAutospacing="1" w:after="100" w:afterAutospacing="1" w:line="240" w:lineRule="auto"/>
      <w:outlineLvl w:val="2"/>
    </w:pPr>
    <w:rPr>
      <w:rFonts w:ascii="Calibri Light" w:eastAsia="Verdana" w:hAnsi="Calibri Light"/>
      <w:b/>
      <w:bCs/>
      <w:sz w:val="28"/>
      <w:szCs w:val="24"/>
      <w:lang w:val="en-US"/>
    </w:rPr>
  </w:style>
  <w:style w:type="paragraph" w:styleId="Ttulo4">
    <w:name w:val="heading 4"/>
    <w:basedOn w:val="Ttulo3"/>
    <w:next w:val="Normal"/>
    <w:link w:val="Ttulo4Char"/>
    <w:uiPriority w:val="9"/>
    <w:unhideWhenUsed/>
    <w:qFormat/>
    <w:rsid w:val="002878DB"/>
    <w:pPr>
      <w:keepNext/>
      <w:keepLines/>
      <w:spacing w:before="40"/>
      <w:outlineLvl w:val="3"/>
    </w:pPr>
    <w:rPr>
      <w:rFonts w:asciiTheme="majorHAnsi" w:eastAsiaTheme="majorEastAsia" w:hAnsiTheme="majorHAnsi" w:cstheme="majorBid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BE72D3"/>
    <w:pPr>
      <w:widowControl w:val="0"/>
      <w:tabs>
        <w:tab w:val="left" w:pos="0"/>
      </w:tabs>
      <w:spacing w:before="120" w:after="120" w:line="360" w:lineRule="auto"/>
      <w:jc w:val="both"/>
    </w:pPr>
    <w:rPr>
      <w:rFonts w:eastAsia="Verdana" w:cstheme="minorHAnsi"/>
      <w:sz w:val="24"/>
      <w:szCs w:val="24"/>
    </w:rPr>
  </w:style>
  <w:style w:type="character" w:customStyle="1" w:styleId="CorpodetextoChar">
    <w:name w:val="Corpo de texto Char"/>
    <w:basedOn w:val="Fontepargpadro"/>
    <w:link w:val="Corpodetexto"/>
    <w:uiPriority w:val="1"/>
    <w:rsid w:val="00BE72D3"/>
    <w:rPr>
      <w:rFonts w:eastAsia="Verdana" w:cstheme="minorHAnsi"/>
      <w:sz w:val="24"/>
      <w:szCs w:val="24"/>
    </w:rPr>
  </w:style>
  <w:style w:type="character" w:styleId="Refdecomentrio">
    <w:name w:val="annotation reference"/>
    <w:basedOn w:val="Fontepargpadro"/>
    <w:uiPriority w:val="99"/>
    <w:semiHidden/>
    <w:unhideWhenUsed/>
    <w:rsid w:val="00FA50DF"/>
    <w:rPr>
      <w:sz w:val="16"/>
      <w:szCs w:val="16"/>
    </w:rPr>
  </w:style>
  <w:style w:type="paragraph" w:styleId="Textodecomentrio">
    <w:name w:val="annotation text"/>
    <w:basedOn w:val="Normal"/>
    <w:link w:val="TextodecomentrioChar"/>
    <w:uiPriority w:val="99"/>
    <w:unhideWhenUsed/>
    <w:rsid w:val="00FA50DF"/>
    <w:pPr>
      <w:spacing w:line="240" w:lineRule="auto"/>
    </w:pPr>
    <w:rPr>
      <w:sz w:val="20"/>
      <w:szCs w:val="20"/>
    </w:rPr>
  </w:style>
  <w:style w:type="character" w:customStyle="1" w:styleId="TextodecomentrioChar">
    <w:name w:val="Texto de comentário Char"/>
    <w:basedOn w:val="Fontepargpadro"/>
    <w:link w:val="Textodecomentrio"/>
    <w:uiPriority w:val="99"/>
    <w:rsid w:val="00FA50DF"/>
    <w:rPr>
      <w:sz w:val="20"/>
      <w:szCs w:val="20"/>
    </w:rPr>
  </w:style>
  <w:style w:type="paragraph" w:styleId="Assuntodocomentrio">
    <w:name w:val="annotation subject"/>
    <w:basedOn w:val="Textodecomentrio"/>
    <w:next w:val="Textodecomentrio"/>
    <w:link w:val="AssuntodocomentrioChar"/>
    <w:uiPriority w:val="99"/>
    <w:semiHidden/>
    <w:unhideWhenUsed/>
    <w:rsid w:val="00FA50DF"/>
    <w:rPr>
      <w:b/>
      <w:bCs/>
    </w:rPr>
  </w:style>
  <w:style w:type="character" w:customStyle="1" w:styleId="AssuntodocomentrioChar">
    <w:name w:val="Assunto do comentário Char"/>
    <w:basedOn w:val="TextodecomentrioChar"/>
    <w:link w:val="Assuntodocomentrio"/>
    <w:uiPriority w:val="99"/>
    <w:semiHidden/>
    <w:rsid w:val="00FA50DF"/>
    <w:rPr>
      <w:b/>
      <w:bCs/>
      <w:sz w:val="20"/>
      <w:szCs w:val="20"/>
    </w:rPr>
  </w:style>
  <w:style w:type="paragraph" w:styleId="Textodebalo">
    <w:name w:val="Balloon Text"/>
    <w:basedOn w:val="Normal"/>
    <w:link w:val="TextodebaloChar"/>
    <w:uiPriority w:val="99"/>
    <w:semiHidden/>
    <w:unhideWhenUsed/>
    <w:rsid w:val="00FA50D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A50DF"/>
    <w:rPr>
      <w:rFonts w:ascii="Segoe UI" w:hAnsi="Segoe UI" w:cs="Segoe UI"/>
      <w:sz w:val="18"/>
      <w:szCs w:val="18"/>
    </w:rPr>
  </w:style>
  <w:style w:type="character" w:customStyle="1" w:styleId="Ttulo2Char">
    <w:name w:val="Título 2 Char"/>
    <w:basedOn w:val="Fontepargpadro"/>
    <w:link w:val="Ttulo2"/>
    <w:uiPriority w:val="1"/>
    <w:rsid w:val="00E57769"/>
    <w:rPr>
      <w:rFonts w:ascii="Calibri Light" w:eastAsia="Franklin Gothic Medium" w:hAnsi="Calibri Light"/>
      <w:b/>
      <w:color w:val="0066B2" w:themeColor="accent1"/>
      <w:sz w:val="28"/>
      <w:szCs w:val="36"/>
      <w:lang w:val="en-US"/>
    </w:rPr>
  </w:style>
  <w:style w:type="character" w:customStyle="1" w:styleId="Ttulo3Char">
    <w:name w:val="Título 3 Char"/>
    <w:basedOn w:val="Fontepargpadro"/>
    <w:link w:val="Ttulo3"/>
    <w:uiPriority w:val="1"/>
    <w:rsid w:val="002878DB"/>
    <w:rPr>
      <w:rFonts w:ascii="Calibri Light" w:eastAsia="Verdana" w:hAnsi="Calibri Light"/>
      <w:b/>
      <w:bCs/>
      <w:sz w:val="28"/>
      <w:szCs w:val="24"/>
      <w:lang w:val="en-US"/>
    </w:rPr>
  </w:style>
  <w:style w:type="character" w:customStyle="1" w:styleId="Ttulo4Char">
    <w:name w:val="Título 4 Char"/>
    <w:basedOn w:val="Fontepargpadro"/>
    <w:link w:val="Ttulo4"/>
    <w:uiPriority w:val="9"/>
    <w:rsid w:val="002878DB"/>
    <w:rPr>
      <w:rFonts w:asciiTheme="majorHAnsi" w:eastAsiaTheme="majorEastAsia" w:hAnsiTheme="majorHAnsi" w:cstheme="majorBidi"/>
      <w:b/>
      <w:bCs/>
      <w:iCs/>
      <w:sz w:val="24"/>
      <w:szCs w:val="24"/>
      <w:lang w:val="en-US"/>
    </w:rPr>
  </w:style>
  <w:style w:type="paragraph" w:styleId="PargrafodaLista">
    <w:name w:val="List Paragraph"/>
    <w:basedOn w:val="Normal"/>
    <w:uiPriority w:val="1"/>
    <w:rsid w:val="002878DB"/>
    <w:pPr>
      <w:widowControl w:val="0"/>
      <w:spacing w:after="0" w:line="240" w:lineRule="auto"/>
    </w:pPr>
    <w:rPr>
      <w:lang w:val="en-US"/>
    </w:rPr>
  </w:style>
  <w:style w:type="table" w:styleId="Tabelacomgrade">
    <w:name w:val="Table Grid"/>
    <w:basedOn w:val="Tabelanormal"/>
    <w:uiPriority w:val="39"/>
    <w:rsid w:val="00287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2878DB"/>
    <w:rPr>
      <w:color w:val="FF0000" w:themeColor="hyperlink"/>
      <w:u w:val="single"/>
    </w:rPr>
  </w:style>
  <w:style w:type="paragraph" w:styleId="Subttulo">
    <w:name w:val="Subtitle"/>
    <w:basedOn w:val="Normal"/>
    <w:next w:val="Normal"/>
    <w:link w:val="SubttuloChar"/>
    <w:uiPriority w:val="11"/>
    <w:qFormat/>
    <w:rsid w:val="002878DB"/>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2878DB"/>
    <w:rPr>
      <w:rFonts w:eastAsiaTheme="minorEastAsia"/>
      <w:color w:val="5A5A5A" w:themeColor="text1" w:themeTint="A5"/>
      <w:spacing w:val="15"/>
    </w:rPr>
  </w:style>
  <w:style w:type="character" w:customStyle="1" w:styleId="Ttulo1Char">
    <w:name w:val="Título 1 Char"/>
    <w:basedOn w:val="Fontepargpadro"/>
    <w:link w:val="Ttulo1"/>
    <w:uiPriority w:val="9"/>
    <w:rsid w:val="00C2319C"/>
    <w:rPr>
      <w:rFonts w:ascii="Calibri Light" w:eastAsiaTheme="majorEastAsia" w:hAnsi="Calibri Light" w:cstheme="majorBidi"/>
      <w:b/>
      <w:color w:val="0066B2" w:themeColor="accent1"/>
      <w:sz w:val="32"/>
      <w:szCs w:val="32"/>
    </w:rPr>
  </w:style>
  <w:style w:type="paragraph" w:styleId="CabealhodoSumrio">
    <w:name w:val="TOC Heading"/>
    <w:basedOn w:val="Ttulo1"/>
    <w:next w:val="Normal"/>
    <w:uiPriority w:val="39"/>
    <w:unhideWhenUsed/>
    <w:qFormat/>
    <w:rsid w:val="00E57769"/>
    <w:pPr>
      <w:outlineLvl w:val="9"/>
    </w:pPr>
    <w:rPr>
      <w:lang w:eastAsia="pt-BR"/>
    </w:rPr>
  </w:style>
  <w:style w:type="paragraph" w:styleId="Sumrio2">
    <w:name w:val="toc 2"/>
    <w:basedOn w:val="Normal"/>
    <w:next w:val="Normal"/>
    <w:autoRedefine/>
    <w:uiPriority w:val="39"/>
    <w:unhideWhenUsed/>
    <w:rsid w:val="00E57769"/>
    <w:pPr>
      <w:spacing w:after="100"/>
      <w:ind w:left="220"/>
    </w:pPr>
  </w:style>
  <w:style w:type="paragraph" w:styleId="Sumrio3">
    <w:name w:val="toc 3"/>
    <w:basedOn w:val="Normal"/>
    <w:next w:val="Normal"/>
    <w:autoRedefine/>
    <w:uiPriority w:val="39"/>
    <w:unhideWhenUsed/>
    <w:rsid w:val="00E57769"/>
    <w:pPr>
      <w:spacing w:after="100"/>
      <w:ind w:left="440"/>
    </w:pPr>
  </w:style>
  <w:style w:type="paragraph" w:styleId="Cabealho">
    <w:name w:val="header"/>
    <w:basedOn w:val="Normal"/>
    <w:link w:val="CabealhoChar"/>
    <w:uiPriority w:val="99"/>
    <w:unhideWhenUsed/>
    <w:rsid w:val="004926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26DF"/>
  </w:style>
  <w:style w:type="paragraph" w:styleId="Rodap">
    <w:name w:val="footer"/>
    <w:basedOn w:val="Normal"/>
    <w:link w:val="RodapChar"/>
    <w:uiPriority w:val="99"/>
    <w:unhideWhenUsed/>
    <w:rsid w:val="004926DF"/>
    <w:pPr>
      <w:tabs>
        <w:tab w:val="center" w:pos="4252"/>
        <w:tab w:val="right" w:pos="8504"/>
      </w:tabs>
      <w:spacing w:after="0" w:line="240" w:lineRule="auto"/>
    </w:pPr>
  </w:style>
  <w:style w:type="character" w:customStyle="1" w:styleId="RodapChar">
    <w:name w:val="Rodapé Char"/>
    <w:basedOn w:val="Fontepargpadro"/>
    <w:link w:val="Rodap"/>
    <w:uiPriority w:val="99"/>
    <w:rsid w:val="004926DF"/>
  </w:style>
  <w:style w:type="paragraph" w:styleId="NormalWeb">
    <w:name w:val="Normal (Web)"/>
    <w:basedOn w:val="Normal"/>
    <w:uiPriority w:val="99"/>
    <w:semiHidden/>
    <w:unhideWhenUsed/>
    <w:rsid w:val="00273E0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680EF2"/>
  </w:style>
  <w:style w:type="paragraph" w:styleId="Sumrio1">
    <w:name w:val="toc 1"/>
    <w:basedOn w:val="Normal"/>
    <w:next w:val="Normal"/>
    <w:autoRedefine/>
    <w:uiPriority w:val="39"/>
    <w:unhideWhenUsed/>
    <w:rsid w:val="008767C0"/>
    <w:pPr>
      <w:spacing w:after="100"/>
    </w:pPr>
  </w:style>
  <w:style w:type="paragraph" w:styleId="Reviso">
    <w:name w:val="Revision"/>
    <w:hidden/>
    <w:uiPriority w:val="99"/>
    <w:semiHidden/>
    <w:rsid w:val="00802F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099651">
      <w:bodyDiv w:val="1"/>
      <w:marLeft w:val="0"/>
      <w:marRight w:val="0"/>
      <w:marTop w:val="0"/>
      <w:marBottom w:val="0"/>
      <w:divBdr>
        <w:top w:val="none" w:sz="0" w:space="0" w:color="auto"/>
        <w:left w:val="none" w:sz="0" w:space="0" w:color="auto"/>
        <w:bottom w:val="none" w:sz="0" w:space="0" w:color="auto"/>
        <w:right w:val="none" w:sz="0" w:space="0" w:color="auto"/>
      </w:divBdr>
    </w:div>
    <w:div w:id="1358044032">
      <w:bodyDiv w:val="1"/>
      <w:marLeft w:val="0"/>
      <w:marRight w:val="0"/>
      <w:marTop w:val="0"/>
      <w:marBottom w:val="0"/>
      <w:divBdr>
        <w:top w:val="none" w:sz="0" w:space="0" w:color="auto"/>
        <w:left w:val="none" w:sz="0" w:space="0" w:color="auto"/>
        <w:bottom w:val="none" w:sz="0" w:space="0" w:color="auto"/>
        <w:right w:val="none" w:sz="0" w:space="0" w:color="auto"/>
      </w:divBdr>
    </w:div>
    <w:div w:id="1835222763">
      <w:bodyDiv w:val="1"/>
      <w:marLeft w:val="0"/>
      <w:marRight w:val="0"/>
      <w:marTop w:val="0"/>
      <w:marBottom w:val="0"/>
      <w:divBdr>
        <w:top w:val="none" w:sz="0" w:space="0" w:color="auto"/>
        <w:left w:val="none" w:sz="0" w:space="0" w:color="auto"/>
        <w:bottom w:val="none" w:sz="0" w:space="0" w:color="auto"/>
        <w:right w:val="none" w:sz="0" w:space="0" w:color="auto"/>
      </w:divBdr>
    </w:div>
    <w:div w:id="202343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inmetro.gov.br/inmetro/sinmetro.asp"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oiml.org/en" TargetMode="Externa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inmetro.gov.br/inmetro/oque.asp"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pm.org/en/home"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ulete.com.br/bureau" TargetMode="External"/><Relationship Id="rId23" Type="http://schemas.openxmlformats.org/officeDocument/2006/relationships/image" Target="media/image9.png"/><Relationship Id="rId28" Type="http://schemas.openxmlformats.org/officeDocument/2006/relationships/hyperlink" Target="https://www.youtube.com/watch?v=sybJa_iUMXE" TargetMode="External"/><Relationship Id="rId10" Type="http://schemas.openxmlformats.org/officeDocument/2006/relationships/hyperlink" Target="https://pt.wikipedia.org/wiki/Metrologia" TargetMode="External"/><Relationship Id="rId19" Type="http://schemas.openxmlformats.org/officeDocument/2006/relationships/hyperlink" Target="http://www.inmetro.gov.br/inmetro/conmetro.asp"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CC5B0-CF87-418E-8B8F-077F91BB2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15</Pages>
  <Words>3829</Words>
  <Characters>20681</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Aline Marques Rodrigues</cp:lastModifiedBy>
  <cp:revision>15</cp:revision>
  <cp:lastPrinted>2021-05-20T20:01:00Z</cp:lastPrinted>
  <dcterms:created xsi:type="dcterms:W3CDTF">2021-05-18T19:25:00Z</dcterms:created>
  <dcterms:modified xsi:type="dcterms:W3CDTF">2021-05-20T20:02:00Z</dcterms:modified>
</cp:coreProperties>
</file>