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Verdana" w:hAnsi="Verdana"/>
        </w:rPr>
        <w:id w:val="1135860"/>
        <w:docPartObj>
          <w:docPartGallery w:val="Cover Pages"/>
          <w:docPartUnique/>
        </w:docPartObj>
      </w:sdtPr>
      <w:sdtContent>
        <w:p w:rsidR="00E6375C" w:rsidRDefault="00E6375C" w:rsidP="00E6375C">
          <w:pPr>
            <w:jc w:val="center"/>
          </w:pPr>
          <w:r>
            <w:rPr>
              <w:noProof/>
              <w:lang w:eastAsia="pt-BR"/>
            </w:rPr>
            <w:pict>
              <v:rect id="_x0000_s1091" style="position:absolute;left:0;text-align:left;margin-left:-.05pt;margin-top:0;width:425.2pt;height:29.65pt;z-index:251662848;mso-width-percent:1000;mso-position-horizontal-relative:margin;mso-position-vertical-relative:margin;mso-width-percent:1000;mso-width-relative:margin;mso-height-relative:margin" filled="f" stroked="f">
                <v:textbox style="mso-next-textbox:#_x0000_s1091;mso-fit-shape-to-text:t">
                  <w:txbxContent>
                    <w:p w:rsidR="00A7139C" w:rsidRPr="005C44CB" w:rsidRDefault="00A7139C" w:rsidP="00A7139C">
                      <w:pPr>
                        <w:spacing w:after="0"/>
                        <w:rPr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w:r>
        </w:p>
        <w:p w:rsidR="00E6375C" w:rsidRDefault="00E6375C" w:rsidP="00E6375C">
          <w:pPr>
            <w:jc w:val="center"/>
          </w:pPr>
          <w:r>
            <w:t xml:space="preserve"> </w:t>
          </w:r>
          <w:r>
            <w:rPr>
              <w:noProof/>
              <w:lang w:eastAsia="pt-BR"/>
            </w:rPr>
            <w:drawing>
              <wp:inline distT="0" distB="0" distL="0" distR="0">
                <wp:extent cx="1922145" cy="1896745"/>
                <wp:effectExtent l="19050" t="0" r="1905" b="0"/>
                <wp:docPr id="2" name="Imagem 0" descr="Logo Inmetro az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 Inmetro az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145" cy="189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6375C" w:rsidRDefault="00E6375C" w:rsidP="00E6375C">
          <w:r>
            <w:rPr>
              <w:noProof/>
              <w:lang w:eastAsia="pt-BR"/>
            </w:rPr>
            <w:pict>
              <v:rect id="_x0000_s1120" style="position:absolute;margin-left:361.6pt;margin-top:598.65pt;width:76.85pt;height:39.25pt;z-index:251666944;mso-position-horizontal-relative:margin;mso-position-vertical-relative:margin" filled="f" stroked="f">
                <v:textbox style="mso-next-textbox:#_x0000_s1120">
                  <w:txbxContent>
                    <w:p w:rsidR="00E6375C" w:rsidRPr="00D202C2" w:rsidRDefault="00E6375C" w:rsidP="00E6375C">
                      <w:pPr>
                        <w:tabs>
                          <w:tab w:val="left" w:pos="0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color w:val="548DD4" w:themeColor="text2" w:themeTint="99"/>
                          <w:sz w:val="50"/>
                          <w:szCs w:val="50"/>
                        </w:rPr>
                      </w:pPr>
                      <w:r w:rsidRPr="00B26AF0">
                        <w:rPr>
                          <w:rFonts w:ascii="Verdana" w:hAnsi="Verdana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t>2013</w:t>
                      </w:r>
                      <w:r w:rsidRPr="00D202C2">
                        <w:rPr>
                          <w:rFonts w:ascii="Verdana" w:hAnsi="Verdana"/>
                          <w:b/>
                          <w:color w:val="548DD4" w:themeColor="text2" w:themeTint="99"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w:r>
          <w:r>
            <w:rPr>
              <w:noProof/>
              <w:lang w:eastAsia="pt-BR"/>
            </w:rPr>
            <w:pict>
              <v:rect id="_x0000_s1121" style="position:absolute;margin-left:.3pt;margin-top:265.5pt;width:425.15pt;height:119.25pt;z-index:251667968;mso-width-percent:1000;mso-position-horizontal-relative:margin;mso-position-vertical-relative:margin;mso-width-percent:1000;mso-width-relative:margin;mso-height-relative:margin;v-text-anchor:bottom" filled="f" stroked="f">
                <v:textbox style="mso-next-textbox:#_x0000_s1121">
                  <w:txbxContent>
                    <w:p w:rsidR="00E6375C" w:rsidRPr="00040060" w:rsidRDefault="00E6375C" w:rsidP="00E6375C">
                      <w:pPr>
                        <w:tabs>
                          <w:tab w:val="left" w:pos="0"/>
                        </w:tabs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040060">
                        <w:rPr>
                          <w:rFonts w:ascii="Verdana" w:hAnsi="Verdana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t>Curso de Formação de Avaliador de Posto de Ensaio de Cronotacógrafo</w:t>
                      </w:r>
                    </w:p>
                    <w:p w:rsidR="00E6375C" w:rsidRPr="005C44CB" w:rsidRDefault="00E6375C" w:rsidP="00E6375C">
                      <w:pPr>
                        <w:rPr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w:r>
          <w:r>
            <w:rPr>
              <w:noProof/>
              <w:lang w:eastAsia="pt-BR"/>
            </w:rPr>
            <w:pict>
              <v:rect id="_x0000_s1108" style="position:absolute;margin-left:0;margin-top:255.85pt;width:425.2pt;height:98.85pt;z-index:251664896;mso-width-percent:1000;mso-position-horizontal:center;mso-position-horizontal-relative:margin;mso-position-vertical-relative:margin;mso-width-percent:1000;mso-width-relative:margin;mso-height-relative:margin;v-text-anchor:bottom" filled="f" stroked="f">
                <v:textbox style="mso-next-textbox:#_x0000_s1108">
                  <w:txbxContent>
                    <w:p w:rsidR="00E6375C" w:rsidRPr="005C44CB" w:rsidRDefault="00E6375C" w:rsidP="00E6375C">
                      <w:pPr>
                        <w:rPr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w:r>
          <w:r>
            <w:rPr>
              <w:noProof/>
              <w:lang w:eastAsia="pt-BR"/>
            </w:rPr>
            <w:pict>
              <v:group id="_x0000_s1109" style="position:absolute;margin-left:-85.4pt;margin-top:466.55pt;width:595.25pt;height:252.5pt;z-index:251665920;mso-width-percent:1000;mso-height-percent:300;mso-position-horizontal-relative:margin;mso-position-vertical-relative:margin;mso-width-percent:1000;mso-height-percent:300" coordorigin="-6,3399" coordsize="12197,4253">
                <v:group id="_x0000_s1110" style="position:absolute;left:-6;top:3717;width:12189;height:3550" coordorigin="18,7468" coordsize="12189,3550">
                  <v:shape id="_x0000_s1111" style="position:absolute;left:18;top:7837;width:7132;height:2863;mso-width-relative:page;mso-height-relative:page" coordsize="7132,2863" path="m,l17,2863,7132,2578r,-2378l,xe" fillcolor="#a7bfde" stroked="f">
                    <v:fill opacity=".5"/>
                    <v:path arrowok="t"/>
                  </v:shape>
                  <v:shape id="_x0000_s1112" style="position:absolute;left:7150;top:7468;width:3466;height:3550;mso-width-relative:page;mso-height-relative:page" coordsize="3466,3550" path="m,569l,2930r3466,620l3466,,,569xe" fillcolor="#d3dfee" stroked="f">
                    <v:fill opacity=".5"/>
                    <v:path arrowok="t"/>
                  </v:shape>
                  <v:shape id="_x0000_s1113" style="position:absolute;left:10616;top:7468;width:1591;height:3550;mso-width-relative:page;mso-height-relative:page" coordsize="1591,3550" path="m,l,3550,1591,2746r,-2009l,xe" fillcolor="#a7bfde" stroked="f">
                    <v:fill opacity=".5"/>
                    <v:path arrowok="t"/>
                  </v:shape>
                </v:group>
                <v:shape id="_x0000_s1114" style="position:absolute;left:8071;top:4069;width:4120;height:2913;mso-width-relative:page;mso-height-relative:page" coordsize="4120,2913" path="m1,251l,2662r4120,251l4120,,1,251xe" fillcolor="#d8d8d8" stroked="f">
                  <v:path arrowok="t"/>
                </v:shape>
                <v:shape id="_x0000_s1115" style="position:absolute;left:4104;top:3399;width:3985;height:4236;mso-width-relative:page;mso-height-relative:page" coordsize="3985,4236" path="m,l,4236,3985,3349r,-2428l,xe" fillcolor="#bfbfbf" stroked="f">
                  <v:path arrowok="t"/>
                </v:shape>
                <v:shape id="_x0000_s1116" style="position:absolute;left:18;top:3399;width:4086;height:4253;mso-width-relative:page;mso-height-relative:page" coordsize="4086,4253" path="m4086,r-2,4253l,3198,,1072,4086,xe" fillcolor="#d8d8d8" stroked="f">
                  <v:path arrowok="t"/>
                </v:shape>
                <v:shape id="_x0000_s1117" style="position:absolute;left:17;top:3617;width:2076;height:3851;mso-width-relative:page;mso-height-relative:page" coordsize="2076,3851" path="m,921l2060,r16,3851l,2981,,921xe" fillcolor="#d3dfee" stroked="f">
                  <v:fill opacity="45875f"/>
                  <v:path arrowok="t"/>
                </v:shape>
                <v:shape id="_x0000_s1118" style="position:absolute;left:2077;top:3617;width:6011;height:3835;mso-width-relative:page;mso-height-relative:page" coordsize="6011,3835" path="m,l17,3835,6011,2629r,-1390l,xe" fillcolor="#a7bfde" stroked="f">
                  <v:fill opacity="45875f"/>
                  <v:path arrowok="t"/>
                </v:shape>
                <v:shape id="_x0000_s1119" style="position:absolute;left:8088;top:3835;width:4102;height:3432;mso-width-relative:page;mso-height-relative:page" coordsize="4102,3432" path="m,1038l,2411,4102,3432,4102,,,1038xe" fillcolor="#d3dfee" stroked="f">
                  <v:fill opacity="45875f"/>
                  <v:path arrowok="t"/>
                </v:shape>
                <w10:wrap anchorx="margin" anchory="margin"/>
              </v:group>
            </w:pict>
          </w:r>
        </w:p>
        <w:p w:rsidR="00F7730C" w:rsidRDefault="00F7730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E6375C" w:rsidRDefault="00E6375C" w:rsidP="00E6375C">
          <w:pPr>
            <w:spacing w:line="360" w:lineRule="auto"/>
            <w:jc w:val="center"/>
            <w:rPr>
              <w:rFonts w:ascii="Verdana" w:hAnsi="Verdana" w:cstheme="minorHAnsi"/>
              <w:sz w:val="20"/>
              <w:szCs w:val="20"/>
            </w:rPr>
          </w:pPr>
        </w:p>
        <w:p w:rsidR="00F7730C" w:rsidRPr="00E35647" w:rsidRDefault="00F7730C" w:rsidP="00F7730C">
          <w:pPr>
            <w:spacing w:line="360" w:lineRule="auto"/>
            <w:jc w:val="both"/>
            <w:rPr>
              <w:rFonts w:ascii="Verdana" w:hAnsi="Verdana"/>
              <w:i/>
              <w:sz w:val="36"/>
              <w:szCs w:val="36"/>
            </w:rPr>
          </w:pPr>
          <w:r w:rsidRPr="00E35647">
            <w:rPr>
              <w:rFonts w:ascii="Verdana" w:hAnsi="Verdana" w:cstheme="minorHAnsi"/>
              <w:sz w:val="20"/>
              <w:szCs w:val="20"/>
            </w:rPr>
            <w:t>©</w:t>
          </w:r>
          <w:r>
            <w:rPr>
              <w:rFonts w:ascii="Verdana" w:hAnsi="Verdana"/>
              <w:sz w:val="20"/>
              <w:szCs w:val="20"/>
            </w:rPr>
            <w:t xml:space="preserve"> 2013</w:t>
          </w:r>
          <w:r w:rsidRPr="00E35647">
            <w:rPr>
              <w:rFonts w:ascii="Verdana" w:hAnsi="Verdana"/>
              <w:sz w:val="20"/>
              <w:szCs w:val="20"/>
            </w:rPr>
            <w:t xml:space="preserve"> (ano) INMETRO – Instituto Nacional de Metrologia, Qualidade e Tecnologia</w:t>
          </w:r>
        </w:p>
        <w:p w:rsidR="00F7730C" w:rsidRPr="00E35647" w:rsidRDefault="00F7730C" w:rsidP="00F7730C">
          <w:pPr>
            <w:spacing w:line="360" w:lineRule="auto"/>
            <w:jc w:val="both"/>
            <w:rPr>
              <w:rFonts w:ascii="Verdana" w:hAnsi="Verdana"/>
            </w:rPr>
          </w:pPr>
        </w:p>
        <w:p w:rsidR="00F7730C" w:rsidRPr="00E35647" w:rsidRDefault="00F7730C" w:rsidP="00F7730C">
          <w:pPr>
            <w:spacing w:line="360" w:lineRule="auto"/>
            <w:jc w:val="both"/>
            <w:rPr>
              <w:rFonts w:ascii="Verdana" w:hAnsi="Verdana"/>
              <w:b/>
              <w:i/>
              <w:sz w:val="20"/>
              <w:szCs w:val="20"/>
            </w:rPr>
          </w:pPr>
          <w:r w:rsidRPr="00E35647">
            <w:rPr>
              <w:rFonts w:ascii="Verdana" w:hAnsi="Verdana"/>
              <w:b/>
              <w:i/>
              <w:sz w:val="20"/>
              <w:szCs w:val="20"/>
            </w:rPr>
            <w:lastRenderedPageBreak/>
            <w:t>Governo Federal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b/>
              <w:sz w:val="20"/>
              <w:szCs w:val="20"/>
            </w:rPr>
          </w:pPr>
          <w:r w:rsidRPr="00E35647">
            <w:rPr>
              <w:rFonts w:ascii="Verdana" w:hAnsi="Verdana"/>
              <w:b/>
              <w:sz w:val="20"/>
              <w:szCs w:val="20"/>
            </w:rPr>
            <w:t>Fernando Pimentel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>Ministro do Desenvolvimento, Indústria e Comércio Exterior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b/>
              <w:i/>
              <w:sz w:val="20"/>
              <w:szCs w:val="20"/>
            </w:rPr>
          </w:pPr>
          <w:r w:rsidRPr="00E35647">
            <w:rPr>
              <w:rFonts w:ascii="Verdana" w:hAnsi="Verdana"/>
              <w:b/>
              <w:i/>
              <w:sz w:val="20"/>
              <w:szCs w:val="20"/>
            </w:rPr>
            <w:t>Inmetro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b/>
              <w:i/>
              <w:sz w:val="20"/>
              <w:szCs w:val="20"/>
            </w:rPr>
          </w:pP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b/>
              <w:sz w:val="20"/>
              <w:szCs w:val="20"/>
            </w:rPr>
          </w:pPr>
          <w:r w:rsidRPr="00E35647">
            <w:rPr>
              <w:rFonts w:ascii="Verdana" w:hAnsi="Verdana"/>
              <w:b/>
              <w:sz w:val="20"/>
              <w:szCs w:val="20"/>
            </w:rPr>
            <w:t xml:space="preserve">João Alziro </w:t>
          </w:r>
          <w:proofErr w:type="spellStart"/>
          <w:r w:rsidRPr="00E35647">
            <w:rPr>
              <w:rFonts w:ascii="Verdana" w:hAnsi="Verdana"/>
              <w:b/>
              <w:sz w:val="20"/>
              <w:szCs w:val="20"/>
            </w:rPr>
            <w:t>Herz</w:t>
          </w:r>
          <w:proofErr w:type="spellEnd"/>
          <w:r w:rsidRPr="00E35647">
            <w:rPr>
              <w:rFonts w:ascii="Verdana" w:hAnsi="Verdana"/>
              <w:b/>
              <w:sz w:val="20"/>
              <w:szCs w:val="20"/>
            </w:rPr>
            <w:t xml:space="preserve"> da Jornada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>Presidente do Inmetro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b/>
              <w:sz w:val="20"/>
              <w:szCs w:val="20"/>
            </w:rPr>
          </w:pPr>
          <w:r w:rsidRPr="00E35647">
            <w:rPr>
              <w:rFonts w:ascii="Verdana" w:hAnsi="Verdana"/>
              <w:b/>
              <w:sz w:val="20"/>
              <w:szCs w:val="20"/>
            </w:rPr>
            <w:t xml:space="preserve">Oscar </w:t>
          </w:r>
          <w:proofErr w:type="spellStart"/>
          <w:r w:rsidRPr="00E35647">
            <w:rPr>
              <w:rFonts w:ascii="Verdana" w:hAnsi="Verdana"/>
              <w:b/>
              <w:sz w:val="20"/>
              <w:szCs w:val="20"/>
            </w:rPr>
            <w:t>Acserald</w:t>
          </w:r>
          <w:proofErr w:type="spellEnd"/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>Diretoria de Planejamento e Articulação Institucional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Pr="00446900" w:rsidRDefault="0071261C" w:rsidP="00F7730C">
          <w:pPr>
            <w:spacing w:after="0" w:line="360" w:lineRule="auto"/>
            <w:jc w:val="both"/>
            <w:rPr>
              <w:rFonts w:ascii="Verdana" w:hAnsi="Verdana"/>
              <w:b/>
              <w:sz w:val="20"/>
              <w:szCs w:val="20"/>
            </w:rPr>
          </w:pPr>
          <w:hyperlink r:id="rId10" w:history="1">
            <w:r w:rsidR="00F7730C" w:rsidRPr="00446900">
              <w:rPr>
                <w:rFonts w:ascii="Verdana" w:hAnsi="Verdana"/>
                <w:b/>
                <w:sz w:val="20"/>
                <w:szCs w:val="20"/>
              </w:rPr>
              <w:t>Renata Gerard </w:t>
            </w:r>
            <w:proofErr w:type="spellStart"/>
            <w:r w:rsidR="00F7730C" w:rsidRPr="00446900">
              <w:rPr>
                <w:rFonts w:ascii="Verdana" w:hAnsi="Verdana"/>
                <w:b/>
                <w:sz w:val="20"/>
                <w:szCs w:val="20"/>
              </w:rPr>
              <w:t>Bondim</w:t>
            </w:r>
            <w:proofErr w:type="spellEnd"/>
          </w:hyperlink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>Chefe do Centro de Capacitação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 xml:space="preserve">É permitida a reprodução total ou parcial desta obra, desde que citada </w:t>
          </w:r>
          <w:proofErr w:type="gramStart"/>
          <w:r w:rsidRPr="00E35647">
            <w:rPr>
              <w:rFonts w:ascii="Verdana" w:hAnsi="Verdana"/>
              <w:sz w:val="20"/>
              <w:szCs w:val="20"/>
            </w:rPr>
            <w:t>a</w:t>
          </w:r>
          <w:proofErr w:type="gramEnd"/>
          <w:r w:rsidRPr="00E35647">
            <w:rPr>
              <w:rFonts w:ascii="Verdana" w:hAnsi="Verdana"/>
              <w:sz w:val="20"/>
              <w:szCs w:val="20"/>
            </w:rPr>
            <w:t xml:space="preserve"> fonte.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>INMETRO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>Centro de Capacitação – CICMA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>Serviço de Produtos de Informação – SEPIN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>Av. Nossa Senhora das Graças, 50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 xml:space="preserve">25250-020  </w:t>
          </w:r>
          <w:proofErr w:type="spellStart"/>
          <w:r w:rsidRPr="00E35647">
            <w:rPr>
              <w:rFonts w:ascii="Verdana" w:hAnsi="Verdana"/>
              <w:sz w:val="20"/>
              <w:szCs w:val="20"/>
            </w:rPr>
            <w:t>Xerem</w:t>
          </w:r>
          <w:proofErr w:type="spellEnd"/>
          <w:r w:rsidRPr="00E35647">
            <w:rPr>
              <w:rFonts w:ascii="Verdana" w:hAnsi="Verdana"/>
              <w:sz w:val="20"/>
              <w:szCs w:val="20"/>
            </w:rPr>
            <w:t xml:space="preserve"> – Duque de Caxias/RJ</w:t>
          </w: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E35647">
            <w:rPr>
              <w:rFonts w:ascii="Verdana" w:hAnsi="Verdana"/>
              <w:sz w:val="20"/>
              <w:szCs w:val="20"/>
            </w:rPr>
            <w:t>Tel.: 21 2679-3138</w:t>
          </w:r>
        </w:p>
        <w:p w:rsidR="00F7730C" w:rsidRDefault="0071261C" w:rsidP="00F7730C">
          <w:pPr>
            <w:spacing w:after="0" w:line="360" w:lineRule="auto"/>
            <w:jc w:val="both"/>
          </w:pPr>
          <w:hyperlink r:id="rId11" w:history="1">
            <w:r w:rsidR="00F7730C" w:rsidRPr="00E35647">
              <w:rPr>
                <w:rStyle w:val="Hyperlink"/>
                <w:rFonts w:ascii="Verdana" w:hAnsi="Verdana"/>
                <w:sz w:val="20"/>
                <w:szCs w:val="20"/>
              </w:rPr>
              <w:t>cicma@inmetro.gov.br</w:t>
            </w:r>
          </w:hyperlink>
        </w:p>
        <w:p w:rsidR="00F7730C" w:rsidRDefault="00F7730C"/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Pr="00E35647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Default="00F7730C" w:rsidP="00F7730C">
          <w:pPr>
            <w:spacing w:after="0" w:line="360" w:lineRule="auto"/>
            <w:jc w:val="both"/>
            <w:rPr>
              <w:rFonts w:ascii="Verdana" w:hAnsi="Verdana"/>
              <w:sz w:val="28"/>
              <w:szCs w:val="20"/>
            </w:rPr>
          </w:pPr>
        </w:p>
        <w:p w:rsidR="00F7730C" w:rsidRDefault="00F7730C" w:rsidP="00F7730C">
          <w:pPr>
            <w:spacing w:after="0" w:line="360" w:lineRule="auto"/>
            <w:jc w:val="both"/>
            <w:rPr>
              <w:rFonts w:ascii="Verdana" w:hAnsi="Verdana"/>
              <w:sz w:val="28"/>
              <w:szCs w:val="20"/>
            </w:rPr>
          </w:pPr>
        </w:p>
        <w:p w:rsidR="00F7730C" w:rsidRPr="00F7730C" w:rsidRDefault="00F7730C" w:rsidP="00F7730C">
          <w:pPr>
            <w:spacing w:after="0" w:line="360" w:lineRule="auto"/>
            <w:jc w:val="both"/>
            <w:rPr>
              <w:rFonts w:ascii="Verdana" w:hAnsi="Verdana"/>
              <w:sz w:val="28"/>
              <w:szCs w:val="20"/>
            </w:rPr>
          </w:pPr>
          <w:r w:rsidRPr="00F7730C">
            <w:rPr>
              <w:rFonts w:ascii="Verdana" w:hAnsi="Verdana"/>
              <w:sz w:val="28"/>
              <w:szCs w:val="20"/>
            </w:rPr>
            <w:t>Prezado Aluno,</w:t>
          </w:r>
        </w:p>
        <w:p w:rsidR="00F7730C" w:rsidRPr="00F7730C" w:rsidRDefault="00F7730C" w:rsidP="00F7730C">
          <w:pPr>
            <w:spacing w:after="0" w:line="360" w:lineRule="auto"/>
            <w:jc w:val="both"/>
            <w:rPr>
              <w:rFonts w:ascii="Verdana" w:hAnsi="Verdana"/>
              <w:sz w:val="28"/>
              <w:szCs w:val="20"/>
            </w:rPr>
          </w:pPr>
        </w:p>
        <w:p w:rsidR="00F7730C" w:rsidRPr="00F7730C" w:rsidRDefault="00F7730C" w:rsidP="00F7730C">
          <w:pPr>
            <w:spacing w:after="0" w:line="360" w:lineRule="auto"/>
            <w:ind w:firstLine="360"/>
            <w:jc w:val="both"/>
            <w:rPr>
              <w:rFonts w:ascii="Verdana" w:hAnsi="Verdana"/>
              <w:sz w:val="28"/>
              <w:szCs w:val="20"/>
            </w:rPr>
          </w:pPr>
          <w:r w:rsidRPr="00F7730C">
            <w:rPr>
              <w:rFonts w:ascii="Verdana" w:hAnsi="Verdana"/>
              <w:sz w:val="28"/>
              <w:szCs w:val="20"/>
            </w:rPr>
            <w:lastRenderedPageBreak/>
            <w:t>Nesta apostila constam os seguintes conteúdos:</w:t>
          </w:r>
        </w:p>
        <w:p w:rsidR="00F7730C" w:rsidRPr="00F7730C" w:rsidRDefault="00F7730C" w:rsidP="00F7730C">
          <w:pPr>
            <w:spacing w:after="0" w:line="360" w:lineRule="auto"/>
            <w:jc w:val="both"/>
            <w:rPr>
              <w:rFonts w:ascii="Verdana" w:hAnsi="Verdana"/>
              <w:sz w:val="28"/>
              <w:szCs w:val="20"/>
            </w:rPr>
          </w:pPr>
        </w:p>
        <w:p w:rsidR="00F7730C" w:rsidRPr="00F7730C" w:rsidRDefault="00F7730C" w:rsidP="00F7730C">
          <w:pPr>
            <w:pStyle w:val="PargrafodaLista"/>
            <w:numPr>
              <w:ilvl w:val="0"/>
              <w:numId w:val="15"/>
            </w:numPr>
            <w:tabs>
              <w:tab w:val="left" w:pos="0"/>
            </w:tabs>
            <w:spacing w:after="0" w:line="360" w:lineRule="auto"/>
            <w:rPr>
              <w:rFonts w:ascii="Verdana" w:hAnsi="Verdana"/>
              <w:sz w:val="28"/>
              <w:szCs w:val="20"/>
            </w:rPr>
          </w:pPr>
          <w:r w:rsidRPr="00F7730C">
            <w:rPr>
              <w:rFonts w:ascii="Verdana" w:hAnsi="Verdana"/>
              <w:sz w:val="28"/>
              <w:szCs w:val="20"/>
            </w:rPr>
            <w:t>Apresentação dos requisitos do Edital Inmetro 01/2011;</w:t>
          </w:r>
        </w:p>
        <w:p w:rsidR="00F7730C" w:rsidRPr="00F7730C" w:rsidRDefault="00F7730C" w:rsidP="00F7730C">
          <w:pPr>
            <w:pStyle w:val="PargrafodaLista"/>
            <w:numPr>
              <w:ilvl w:val="0"/>
              <w:numId w:val="15"/>
            </w:numPr>
            <w:tabs>
              <w:tab w:val="left" w:pos="0"/>
            </w:tabs>
            <w:spacing w:after="0" w:line="360" w:lineRule="auto"/>
            <w:rPr>
              <w:rFonts w:ascii="Verdana" w:hAnsi="Verdana"/>
              <w:sz w:val="28"/>
              <w:szCs w:val="20"/>
            </w:rPr>
          </w:pPr>
          <w:r w:rsidRPr="00F7730C">
            <w:rPr>
              <w:rFonts w:ascii="Verdana" w:hAnsi="Verdana"/>
              <w:sz w:val="28"/>
              <w:szCs w:val="20"/>
            </w:rPr>
            <w:t>Credenciamento de Posto de Ensaio de Cronotacógrafo (PEC);</w:t>
          </w:r>
        </w:p>
        <w:p w:rsidR="00F7730C" w:rsidRPr="00F7730C" w:rsidRDefault="00F7730C" w:rsidP="00F7730C">
          <w:pPr>
            <w:pStyle w:val="PargrafodaLista"/>
            <w:numPr>
              <w:ilvl w:val="0"/>
              <w:numId w:val="15"/>
            </w:numPr>
            <w:tabs>
              <w:tab w:val="left" w:pos="0"/>
            </w:tabs>
            <w:spacing w:after="0" w:line="360" w:lineRule="auto"/>
            <w:rPr>
              <w:rFonts w:ascii="Verdana" w:hAnsi="Verdana"/>
              <w:sz w:val="28"/>
              <w:szCs w:val="20"/>
            </w:rPr>
          </w:pPr>
          <w:r w:rsidRPr="00F7730C">
            <w:rPr>
              <w:rFonts w:ascii="Verdana" w:hAnsi="Verdana"/>
              <w:sz w:val="28"/>
              <w:szCs w:val="20"/>
            </w:rPr>
            <w:t>Técnicas de Avaliação;</w:t>
          </w:r>
        </w:p>
        <w:p w:rsidR="00F7730C" w:rsidRPr="00F7730C" w:rsidRDefault="00F7730C" w:rsidP="00F7730C">
          <w:pPr>
            <w:pStyle w:val="PargrafodaLista"/>
            <w:numPr>
              <w:ilvl w:val="0"/>
              <w:numId w:val="15"/>
            </w:numPr>
            <w:tabs>
              <w:tab w:val="left" w:pos="0"/>
            </w:tabs>
            <w:spacing w:after="0" w:line="360" w:lineRule="auto"/>
            <w:rPr>
              <w:rFonts w:ascii="Verdana" w:hAnsi="Verdana"/>
              <w:sz w:val="28"/>
              <w:szCs w:val="20"/>
            </w:rPr>
          </w:pPr>
          <w:r>
            <w:rPr>
              <w:rFonts w:ascii="Verdana" w:hAnsi="Verdana"/>
              <w:sz w:val="28"/>
              <w:szCs w:val="20"/>
            </w:rPr>
            <w:t>Estruturas Operacionais;</w:t>
          </w:r>
        </w:p>
        <w:p w:rsidR="00F7730C" w:rsidRPr="00F7730C" w:rsidRDefault="00F7730C" w:rsidP="00F7730C">
          <w:pPr>
            <w:pStyle w:val="PargrafodaLista"/>
            <w:numPr>
              <w:ilvl w:val="0"/>
              <w:numId w:val="15"/>
            </w:numPr>
            <w:tabs>
              <w:tab w:val="left" w:pos="0"/>
            </w:tabs>
            <w:spacing w:after="0" w:line="360" w:lineRule="auto"/>
            <w:rPr>
              <w:rFonts w:ascii="Verdana" w:hAnsi="Verdana"/>
              <w:sz w:val="28"/>
              <w:szCs w:val="20"/>
            </w:rPr>
          </w:pPr>
          <w:r w:rsidRPr="00F7730C">
            <w:rPr>
              <w:rFonts w:ascii="Verdana" w:hAnsi="Verdana"/>
              <w:sz w:val="28"/>
              <w:szCs w:val="20"/>
            </w:rPr>
            <w:t>Instalações Físicas</w:t>
          </w:r>
          <w:r>
            <w:rPr>
              <w:rFonts w:ascii="Verdana" w:hAnsi="Verdana"/>
              <w:sz w:val="28"/>
              <w:szCs w:val="20"/>
            </w:rPr>
            <w:t>.</w:t>
          </w:r>
        </w:p>
        <w:p w:rsidR="00F7730C" w:rsidRDefault="00F7730C" w:rsidP="00F7730C">
          <w:pPr>
            <w:tabs>
              <w:tab w:val="left" w:pos="0"/>
            </w:tabs>
            <w:spacing w:after="0" w:line="360" w:lineRule="auto"/>
            <w:rPr>
              <w:rFonts w:ascii="Verdana" w:hAnsi="Verdana"/>
              <w:sz w:val="28"/>
              <w:szCs w:val="20"/>
            </w:rPr>
          </w:pPr>
        </w:p>
        <w:p w:rsidR="00F7730C" w:rsidRPr="00F7730C" w:rsidRDefault="00F7730C" w:rsidP="00F7730C">
          <w:pPr>
            <w:tabs>
              <w:tab w:val="left" w:pos="0"/>
            </w:tabs>
            <w:spacing w:after="0" w:line="360" w:lineRule="auto"/>
            <w:rPr>
              <w:rFonts w:ascii="Verdana" w:hAnsi="Verdana"/>
              <w:sz w:val="28"/>
              <w:szCs w:val="20"/>
            </w:rPr>
          </w:pPr>
        </w:p>
        <w:p w:rsidR="00F7730C" w:rsidRPr="00F7730C" w:rsidRDefault="00F7730C" w:rsidP="00F7730C">
          <w:pPr>
            <w:tabs>
              <w:tab w:val="left" w:pos="0"/>
            </w:tabs>
            <w:spacing w:after="0"/>
            <w:rPr>
              <w:rFonts w:ascii="Verdana" w:hAnsi="Verdana"/>
              <w:sz w:val="28"/>
              <w:szCs w:val="20"/>
            </w:rPr>
          </w:pPr>
        </w:p>
        <w:p w:rsidR="00F7730C" w:rsidRPr="00F7730C" w:rsidRDefault="00F7730C" w:rsidP="00F7730C">
          <w:pPr>
            <w:tabs>
              <w:tab w:val="left" w:pos="0"/>
            </w:tabs>
            <w:spacing w:after="0" w:line="240" w:lineRule="auto"/>
            <w:ind w:left="360"/>
            <w:jc w:val="right"/>
            <w:rPr>
              <w:rFonts w:ascii="Verdana" w:hAnsi="Verdana"/>
              <w:sz w:val="28"/>
              <w:szCs w:val="20"/>
            </w:rPr>
          </w:pPr>
          <w:r w:rsidRPr="00F7730C">
            <w:rPr>
              <w:rFonts w:ascii="Verdana" w:hAnsi="Verdana"/>
              <w:sz w:val="28"/>
              <w:szCs w:val="20"/>
            </w:rPr>
            <w:t>Bons estudos!</w:t>
          </w:r>
        </w:p>
        <w:p w:rsidR="00F7730C" w:rsidRP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52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  <w:r w:rsidRPr="00E727FC">
            <w:rPr>
              <w:rFonts w:ascii="Verdana" w:hAnsi="Verdana"/>
              <w:noProof/>
              <w:lang w:eastAsia="pt-BR"/>
            </w:rPr>
            <w:lastRenderedPageBreak/>
            <w:drawing>
              <wp:inline distT="0" distB="0" distL="0" distR="0">
                <wp:extent cx="1924050" cy="1895475"/>
                <wp:effectExtent l="19050" t="0" r="0" b="0"/>
                <wp:docPr id="5" name="Imagem 0" descr="Logo Inmetro az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nmetro azul.JP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189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 w:rsidP="00F7730C">
          <w:pPr>
            <w:tabs>
              <w:tab w:val="left" w:pos="0"/>
            </w:tabs>
            <w:spacing w:after="0"/>
            <w:jc w:val="center"/>
            <w:rPr>
              <w:rFonts w:ascii="Verdana" w:hAnsi="Verdana"/>
              <w:b/>
              <w:bCs/>
              <w:color w:val="1F497D" w:themeColor="text2"/>
              <w:sz w:val="40"/>
              <w:szCs w:val="40"/>
            </w:rPr>
          </w:pPr>
        </w:p>
        <w:p w:rsidR="00F7730C" w:rsidRDefault="00F7730C">
          <w:pPr>
            <w:rPr>
              <w:rFonts w:ascii="Verdana" w:hAnsi="Verdana"/>
              <w:sz w:val="20"/>
              <w:szCs w:val="20"/>
            </w:rPr>
          </w:pPr>
        </w:p>
        <w:p w:rsidR="00F7730C" w:rsidRDefault="00F7730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</w:p>
        <w:p w:rsidR="00F7730C" w:rsidRDefault="00F7730C" w:rsidP="00F7730C">
          <w:pPr>
            <w:spacing w:after="0" w:line="360" w:lineRule="auto"/>
            <w:jc w:val="center"/>
            <w:rPr>
              <w:rFonts w:ascii="Verdana" w:hAnsi="Verdana"/>
              <w:sz w:val="20"/>
              <w:szCs w:val="20"/>
            </w:rPr>
          </w:pPr>
        </w:p>
        <w:p w:rsidR="00F7730C" w:rsidRDefault="00F7730C" w:rsidP="00F7730C">
          <w:pPr>
            <w:spacing w:after="0" w:line="360" w:lineRule="auto"/>
            <w:jc w:val="center"/>
            <w:rPr>
              <w:rFonts w:ascii="Verdana" w:hAnsi="Verdana"/>
              <w:sz w:val="20"/>
              <w:szCs w:val="20"/>
            </w:rPr>
          </w:pPr>
        </w:p>
        <w:p w:rsidR="00F7730C" w:rsidRPr="00E35647" w:rsidRDefault="0071261C" w:rsidP="00F7730C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1261C">
            <w:rPr>
              <w:rFonts w:ascii="Verdana" w:hAnsi="Verdana"/>
              <w:noProof/>
              <w:lang w:eastAsia="pt-BR"/>
            </w:rPr>
            <w:pict>
              <v:rect id="_x0000_s1089" style="position:absolute;left:0;text-align:left;margin-left:13.5pt;margin-top:166.15pt;width:425.15pt;height:242.8pt;z-index:251652608;mso-width-percent:1000;mso-position-horizontal-relative:margin;mso-position-vertical-relative:margin;mso-width-percent:1000;mso-width-relative:margin;mso-height-relative:margin;v-text-anchor:bottom" filled="f" stroked="f">
                <v:textbox style="mso-next-textbox:#_x0000_s1089">
                  <w:txbxContent>
                    <w:p w:rsidR="00AF2328" w:rsidRDefault="00AF2328" w:rsidP="00F7730C">
                      <w:pPr>
                        <w:tabs>
                          <w:tab w:val="left" w:pos="0"/>
                        </w:tabs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E727FC">
                        <w:rPr>
                          <w:rFonts w:ascii="Verdana" w:hAnsi="Verdana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t>Apresentação dos requisitos do Edital Inmetro 01/2011</w:t>
                      </w:r>
                    </w:p>
                    <w:p w:rsidR="00AF2328" w:rsidRPr="00E727FC" w:rsidRDefault="00AF2328" w:rsidP="00F7730C">
                      <w:pPr>
                        <w:tabs>
                          <w:tab w:val="left" w:pos="0"/>
                        </w:tabs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</w:p>
                    <w:p w:rsidR="00AF2328" w:rsidRDefault="00AF2328" w:rsidP="00F7730C">
                      <w:pPr>
                        <w:tabs>
                          <w:tab w:val="left" w:pos="0"/>
                        </w:tabs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E727FC">
                        <w:rPr>
                          <w:rFonts w:ascii="Verdana" w:hAnsi="Verdana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t>Credenciamento de Posto de Ensaio de Cronotacógrafo (PEC)</w:t>
                      </w:r>
                    </w:p>
                    <w:p w:rsidR="00AF2328" w:rsidRPr="00E727FC" w:rsidRDefault="00AF2328" w:rsidP="00F7730C">
                      <w:pPr>
                        <w:tabs>
                          <w:tab w:val="left" w:pos="0"/>
                        </w:tabs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</w:p>
                    <w:p w:rsidR="00AF2328" w:rsidRDefault="00AF2328" w:rsidP="00F7730C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4F81BD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4F81BD" w:themeColor="accent1"/>
                          <w:sz w:val="36"/>
                          <w:szCs w:val="36"/>
                        </w:rPr>
                        <w:t>Bruno Amado Rodrigues Filho</w:t>
                      </w:r>
                    </w:p>
                  </w:txbxContent>
                </v:textbox>
                <w10:wrap anchorx="margin" anchory="margin"/>
              </v:rect>
            </w:pict>
          </w:r>
        </w:p>
        <w:p w:rsidR="00F7730C" w:rsidRDefault="00F7730C" w:rsidP="00F7730C">
          <w:pPr>
            <w:spacing w:line="360" w:lineRule="auto"/>
            <w:jc w:val="center"/>
            <w:rPr>
              <w:rFonts w:ascii="Verdana" w:hAnsi="Verdana"/>
            </w:rPr>
          </w:pPr>
        </w:p>
        <w:p w:rsidR="00F7730C" w:rsidRDefault="00F7730C" w:rsidP="00F7730C">
          <w:pPr>
            <w:spacing w:line="360" w:lineRule="auto"/>
            <w:rPr>
              <w:rFonts w:ascii="Verdana" w:hAnsi="Verdana"/>
            </w:rPr>
          </w:pPr>
        </w:p>
        <w:p w:rsidR="00F7730C" w:rsidRDefault="00F7730C" w:rsidP="00F7730C">
          <w:pPr>
            <w:spacing w:line="360" w:lineRule="auto"/>
            <w:rPr>
              <w:rFonts w:ascii="Verdana" w:hAnsi="Verdana"/>
            </w:rPr>
          </w:pPr>
        </w:p>
        <w:p w:rsidR="00F7730C" w:rsidRDefault="00F7730C" w:rsidP="00F7730C">
          <w:pPr>
            <w:spacing w:line="360" w:lineRule="auto"/>
            <w:rPr>
              <w:rFonts w:ascii="Verdana" w:hAnsi="Verdana"/>
            </w:rPr>
          </w:pPr>
        </w:p>
        <w:p w:rsidR="00F7730C" w:rsidRDefault="00F7730C" w:rsidP="00F7730C">
          <w:pPr>
            <w:spacing w:line="360" w:lineRule="auto"/>
            <w:rPr>
              <w:rFonts w:ascii="Verdana" w:hAnsi="Verdana"/>
            </w:rPr>
          </w:pPr>
        </w:p>
        <w:p w:rsidR="00F7730C" w:rsidRDefault="00F7730C" w:rsidP="00F7730C">
          <w:pPr>
            <w:spacing w:line="360" w:lineRule="auto"/>
            <w:rPr>
              <w:rFonts w:ascii="Verdana" w:hAnsi="Verdana"/>
            </w:rPr>
          </w:pPr>
        </w:p>
        <w:p w:rsidR="00F7730C" w:rsidRDefault="00F7730C" w:rsidP="00F7730C">
          <w:pPr>
            <w:spacing w:line="360" w:lineRule="auto"/>
            <w:rPr>
              <w:rFonts w:ascii="Verdana" w:hAnsi="Verdana"/>
            </w:rPr>
          </w:pPr>
        </w:p>
        <w:p w:rsidR="00F7730C" w:rsidRDefault="00F7730C" w:rsidP="00F7730C">
          <w:pPr>
            <w:spacing w:line="360" w:lineRule="auto"/>
            <w:rPr>
              <w:rFonts w:ascii="Verdana" w:hAnsi="Verdana"/>
            </w:rPr>
          </w:pPr>
        </w:p>
        <w:p w:rsidR="00F7730C" w:rsidRDefault="00F7730C" w:rsidP="00F7730C">
          <w:pPr>
            <w:spacing w:line="360" w:lineRule="auto"/>
            <w:rPr>
              <w:rFonts w:ascii="Verdana" w:hAnsi="Verdana"/>
            </w:rPr>
          </w:pPr>
        </w:p>
        <w:p w:rsidR="00F7730C" w:rsidRDefault="00F7730C" w:rsidP="00F7730C">
          <w:pPr>
            <w:spacing w:line="360" w:lineRule="auto"/>
            <w:rPr>
              <w:rFonts w:ascii="Verdana" w:hAnsi="Verdana"/>
            </w:rPr>
          </w:pPr>
        </w:p>
        <w:p w:rsidR="003902D8" w:rsidRPr="00E35647" w:rsidRDefault="0071261C" w:rsidP="003325A6">
          <w:pPr>
            <w:spacing w:line="360" w:lineRule="auto"/>
            <w:rPr>
              <w:rFonts w:ascii="Verdana" w:hAnsi="Verdana"/>
            </w:rPr>
          </w:pPr>
        </w:p>
      </w:sdtContent>
    </w:sdt>
    <w:p w:rsidR="00144489" w:rsidRPr="00F7730C" w:rsidRDefault="00144489" w:rsidP="00F7730C">
      <w:pPr>
        <w:spacing w:after="0" w:line="360" w:lineRule="auto"/>
        <w:jc w:val="center"/>
        <w:rPr>
          <w:rFonts w:ascii="Verdana" w:hAnsi="Verdana"/>
          <w:b/>
          <w:color w:val="548DD4" w:themeColor="text2" w:themeTint="99"/>
          <w:sz w:val="32"/>
          <w:szCs w:val="32"/>
        </w:rPr>
      </w:pPr>
      <w:r w:rsidRPr="00F7730C">
        <w:rPr>
          <w:rFonts w:ascii="Verdana" w:hAnsi="Verdana"/>
          <w:b/>
          <w:color w:val="548DD4" w:themeColor="text2" w:themeTint="99"/>
          <w:sz w:val="32"/>
          <w:szCs w:val="32"/>
        </w:rPr>
        <w:t>Sumário</w:t>
      </w:r>
    </w:p>
    <w:p w:rsidR="00220B45" w:rsidRPr="00E35647" w:rsidRDefault="00220B45" w:rsidP="003325A6">
      <w:pPr>
        <w:spacing w:after="0" w:line="360" w:lineRule="auto"/>
        <w:rPr>
          <w:rFonts w:ascii="Verdana" w:hAnsi="Verdana"/>
          <w:b/>
          <w:i/>
          <w:color w:val="548DD4" w:themeColor="text2" w:themeTint="99"/>
          <w:sz w:val="32"/>
          <w:szCs w:val="32"/>
        </w:rPr>
      </w:pPr>
    </w:p>
    <w:p w:rsidR="00144489" w:rsidRPr="00E35647" w:rsidRDefault="00144489" w:rsidP="003325A6">
      <w:pPr>
        <w:spacing w:after="0" w:line="360" w:lineRule="auto"/>
        <w:rPr>
          <w:rFonts w:ascii="Verdana" w:hAnsi="Verdana"/>
          <w:b/>
          <w:i/>
          <w:color w:val="548DD4" w:themeColor="text2" w:themeTint="99"/>
          <w:sz w:val="32"/>
          <w:szCs w:val="32"/>
        </w:rPr>
      </w:pPr>
    </w:p>
    <w:p w:rsidR="00F7730C" w:rsidRPr="00F7730C" w:rsidRDefault="0071261C">
      <w:pPr>
        <w:pStyle w:val="Sumrio1"/>
        <w:tabs>
          <w:tab w:val="left" w:pos="440"/>
          <w:tab w:val="right" w:leader="dot" w:pos="8494"/>
        </w:tabs>
        <w:rPr>
          <w:rFonts w:eastAsiaTheme="minorEastAsia"/>
          <w:noProof/>
          <w:sz w:val="24"/>
          <w:szCs w:val="24"/>
          <w:lang w:eastAsia="pt-BR"/>
        </w:rPr>
      </w:pPr>
      <w:r w:rsidRPr="0071261C">
        <w:rPr>
          <w:rFonts w:ascii="Verdana" w:hAnsi="Verdana"/>
          <w:color w:val="548DD4" w:themeColor="text2" w:themeTint="99"/>
          <w:sz w:val="24"/>
          <w:szCs w:val="24"/>
        </w:rPr>
        <w:fldChar w:fldCharType="begin"/>
      </w:r>
      <w:r w:rsidR="00220B45" w:rsidRPr="00F7730C">
        <w:rPr>
          <w:rFonts w:ascii="Verdana" w:hAnsi="Verdana"/>
          <w:color w:val="548DD4" w:themeColor="text2" w:themeTint="99"/>
          <w:sz w:val="24"/>
          <w:szCs w:val="24"/>
        </w:rPr>
        <w:instrText xml:space="preserve"> TOC \o "1-3" \u </w:instrText>
      </w:r>
      <w:r w:rsidRPr="0071261C">
        <w:rPr>
          <w:rFonts w:ascii="Verdana" w:hAnsi="Verdana"/>
          <w:color w:val="548DD4" w:themeColor="text2" w:themeTint="99"/>
          <w:sz w:val="24"/>
          <w:szCs w:val="24"/>
        </w:rPr>
        <w:fldChar w:fldCharType="separate"/>
      </w:r>
      <w:r w:rsidR="00F7730C" w:rsidRPr="00F7730C">
        <w:rPr>
          <w:noProof/>
          <w:sz w:val="24"/>
          <w:szCs w:val="24"/>
        </w:rPr>
        <w:t>1.</w:t>
      </w:r>
      <w:r w:rsidR="00F7730C" w:rsidRPr="00F7730C">
        <w:rPr>
          <w:rFonts w:eastAsiaTheme="minorEastAsia"/>
          <w:noProof/>
          <w:sz w:val="24"/>
          <w:szCs w:val="24"/>
          <w:lang w:eastAsia="pt-BR"/>
        </w:rPr>
        <w:tab/>
      </w:r>
      <w:r w:rsidR="00F7730C" w:rsidRPr="00F7730C">
        <w:rPr>
          <w:noProof/>
          <w:sz w:val="24"/>
          <w:szCs w:val="24"/>
        </w:rPr>
        <w:t>O uso do cronotacógrafo no Brasil</w:t>
      </w:r>
      <w:r w:rsidR="00F7730C" w:rsidRPr="00F7730C">
        <w:rPr>
          <w:noProof/>
          <w:sz w:val="24"/>
          <w:szCs w:val="24"/>
        </w:rPr>
        <w:tab/>
      </w:r>
      <w:r w:rsidRPr="00F7730C">
        <w:rPr>
          <w:noProof/>
          <w:sz w:val="24"/>
          <w:szCs w:val="24"/>
        </w:rPr>
        <w:fldChar w:fldCharType="begin"/>
      </w:r>
      <w:r w:rsidR="00F7730C" w:rsidRPr="00F7730C">
        <w:rPr>
          <w:noProof/>
          <w:sz w:val="24"/>
          <w:szCs w:val="24"/>
        </w:rPr>
        <w:instrText xml:space="preserve"> PAGEREF _Toc353979908 \h </w:instrText>
      </w:r>
      <w:r w:rsidRPr="00F7730C">
        <w:rPr>
          <w:noProof/>
          <w:sz w:val="24"/>
          <w:szCs w:val="24"/>
        </w:rPr>
      </w:r>
      <w:r w:rsidRPr="00F7730C">
        <w:rPr>
          <w:noProof/>
          <w:sz w:val="24"/>
          <w:szCs w:val="24"/>
        </w:rPr>
        <w:fldChar w:fldCharType="separate"/>
      </w:r>
      <w:r w:rsidR="00EA587E">
        <w:rPr>
          <w:noProof/>
          <w:sz w:val="24"/>
          <w:szCs w:val="24"/>
        </w:rPr>
        <w:t>6</w:t>
      </w:r>
      <w:r w:rsidRPr="00F7730C">
        <w:rPr>
          <w:noProof/>
          <w:sz w:val="24"/>
          <w:szCs w:val="24"/>
        </w:rPr>
        <w:fldChar w:fldCharType="end"/>
      </w:r>
    </w:p>
    <w:p w:rsidR="00F7730C" w:rsidRPr="00F7730C" w:rsidRDefault="00F7730C">
      <w:pPr>
        <w:pStyle w:val="Sumrio1"/>
        <w:tabs>
          <w:tab w:val="left" w:pos="440"/>
          <w:tab w:val="right" w:leader="dot" w:pos="8494"/>
        </w:tabs>
        <w:rPr>
          <w:rFonts w:eastAsiaTheme="minorEastAsia"/>
          <w:noProof/>
          <w:sz w:val="24"/>
          <w:szCs w:val="24"/>
          <w:lang w:eastAsia="pt-BR"/>
        </w:rPr>
      </w:pPr>
      <w:r w:rsidRPr="00F7730C">
        <w:rPr>
          <w:noProof/>
          <w:sz w:val="24"/>
          <w:szCs w:val="24"/>
        </w:rPr>
        <w:t>2.</w:t>
      </w:r>
      <w:r w:rsidRPr="00F7730C">
        <w:rPr>
          <w:rFonts w:eastAsiaTheme="minorEastAsia"/>
          <w:noProof/>
          <w:sz w:val="24"/>
          <w:szCs w:val="24"/>
          <w:lang w:eastAsia="pt-BR"/>
        </w:rPr>
        <w:tab/>
      </w:r>
      <w:r w:rsidRPr="00F7730C">
        <w:rPr>
          <w:noProof/>
          <w:sz w:val="24"/>
          <w:szCs w:val="24"/>
        </w:rPr>
        <w:t>Credenciamento de empresas para realização do ensaio metrológico</w:t>
      </w:r>
      <w:r w:rsidRPr="00F7730C">
        <w:rPr>
          <w:noProof/>
          <w:sz w:val="24"/>
          <w:szCs w:val="24"/>
        </w:rPr>
        <w:tab/>
      </w:r>
      <w:r w:rsidR="0071261C" w:rsidRPr="00F7730C">
        <w:rPr>
          <w:noProof/>
          <w:sz w:val="24"/>
          <w:szCs w:val="24"/>
        </w:rPr>
        <w:fldChar w:fldCharType="begin"/>
      </w:r>
      <w:r w:rsidRPr="00F7730C">
        <w:rPr>
          <w:noProof/>
          <w:sz w:val="24"/>
          <w:szCs w:val="24"/>
        </w:rPr>
        <w:instrText xml:space="preserve"> PAGEREF _Toc353979909 \h </w:instrText>
      </w:r>
      <w:r w:rsidR="0071261C" w:rsidRPr="00F7730C">
        <w:rPr>
          <w:noProof/>
          <w:sz w:val="24"/>
          <w:szCs w:val="24"/>
        </w:rPr>
      </w:r>
      <w:r w:rsidR="0071261C" w:rsidRPr="00F7730C">
        <w:rPr>
          <w:noProof/>
          <w:sz w:val="24"/>
          <w:szCs w:val="24"/>
        </w:rPr>
        <w:fldChar w:fldCharType="separate"/>
      </w:r>
      <w:r w:rsidR="00EA587E">
        <w:rPr>
          <w:noProof/>
          <w:sz w:val="24"/>
          <w:szCs w:val="24"/>
        </w:rPr>
        <w:t>6</w:t>
      </w:r>
      <w:r w:rsidR="0071261C" w:rsidRPr="00F7730C">
        <w:rPr>
          <w:noProof/>
          <w:sz w:val="24"/>
          <w:szCs w:val="24"/>
        </w:rPr>
        <w:fldChar w:fldCharType="end"/>
      </w:r>
    </w:p>
    <w:p w:rsidR="00F7730C" w:rsidRPr="00F7730C" w:rsidRDefault="00F7730C">
      <w:pPr>
        <w:pStyle w:val="Sumrio1"/>
        <w:tabs>
          <w:tab w:val="left" w:pos="440"/>
          <w:tab w:val="right" w:leader="dot" w:pos="8494"/>
        </w:tabs>
        <w:rPr>
          <w:rFonts w:eastAsiaTheme="minorEastAsia"/>
          <w:noProof/>
          <w:sz w:val="24"/>
          <w:szCs w:val="24"/>
          <w:lang w:eastAsia="pt-BR"/>
        </w:rPr>
      </w:pPr>
      <w:r w:rsidRPr="00F7730C">
        <w:rPr>
          <w:noProof/>
          <w:sz w:val="24"/>
          <w:szCs w:val="24"/>
        </w:rPr>
        <w:t>3.</w:t>
      </w:r>
      <w:r w:rsidRPr="00F7730C">
        <w:rPr>
          <w:rFonts w:eastAsiaTheme="minorEastAsia"/>
          <w:noProof/>
          <w:sz w:val="24"/>
          <w:szCs w:val="24"/>
          <w:lang w:eastAsia="pt-BR"/>
        </w:rPr>
        <w:tab/>
      </w:r>
      <w:r w:rsidRPr="00F7730C">
        <w:rPr>
          <w:noProof/>
          <w:sz w:val="24"/>
          <w:szCs w:val="24"/>
        </w:rPr>
        <w:t>Partes envolvidas no processo</w:t>
      </w:r>
      <w:r w:rsidRPr="00F7730C">
        <w:rPr>
          <w:noProof/>
          <w:sz w:val="24"/>
          <w:szCs w:val="24"/>
        </w:rPr>
        <w:tab/>
      </w:r>
      <w:r w:rsidR="0071261C" w:rsidRPr="00F7730C">
        <w:rPr>
          <w:noProof/>
          <w:sz w:val="24"/>
          <w:szCs w:val="24"/>
        </w:rPr>
        <w:fldChar w:fldCharType="begin"/>
      </w:r>
      <w:r w:rsidRPr="00F7730C">
        <w:rPr>
          <w:noProof/>
          <w:sz w:val="24"/>
          <w:szCs w:val="24"/>
        </w:rPr>
        <w:instrText xml:space="preserve"> PAGEREF _Toc353979910 \h </w:instrText>
      </w:r>
      <w:r w:rsidR="0071261C" w:rsidRPr="00F7730C">
        <w:rPr>
          <w:noProof/>
          <w:sz w:val="24"/>
          <w:szCs w:val="24"/>
        </w:rPr>
      </w:r>
      <w:r w:rsidR="0071261C" w:rsidRPr="00F7730C">
        <w:rPr>
          <w:noProof/>
          <w:sz w:val="24"/>
          <w:szCs w:val="24"/>
        </w:rPr>
        <w:fldChar w:fldCharType="separate"/>
      </w:r>
      <w:r w:rsidR="00EA587E">
        <w:rPr>
          <w:noProof/>
          <w:sz w:val="24"/>
          <w:szCs w:val="24"/>
        </w:rPr>
        <w:t>9</w:t>
      </w:r>
      <w:r w:rsidR="0071261C" w:rsidRPr="00F7730C">
        <w:rPr>
          <w:noProof/>
          <w:sz w:val="24"/>
          <w:szCs w:val="24"/>
        </w:rPr>
        <w:fldChar w:fldCharType="end"/>
      </w:r>
    </w:p>
    <w:p w:rsidR="00F7730C" w:rsidRPr="00F7730C" w:rsidRDefault="00F7730C">
      <w:pPr>
        <w:pStyle w:val="Sumrio1"/>
        <w:tabs>
          <w:tab w:val="left" w:pos="440"/>
          <w:tab w:val="right" w:leader="dot" w:pos="8494"/>
        </w:tabs>
        <w:rPr>
          <w:rFonts w:eastAsiaTheme="minorEastAsia"/>
          <w:noProof/>
          <w:sz w:val="24"/>
          <w:szCs w:val="24"/>
          <w:lang w:eastAsia="pt-BR"/>
        </w:rPr>
      </w:pPr>
      <w:r w:rsidRPr="00F7730C">
        <w:rPr>
          <w:noProof/>
          <w:sz w:val="24"/>
          <w:szCs w:val="24"/>
        </w:rPr>
        <w:t>4.</w:t>
      </w:r>
      <w:r w:rsidRPr="00F7730C">
        <w:rPr>
          <w:rFonts w:eastAsiaTheme="minorEastAsia"/>
          <w:noProof/>
          <w:sz w:val="24"/>
          <w:szCs w:val="24"/>
          <w:lang w:eastAsia="pt-BR"/>
        </w:rPr>
        <w:tab/>
      </w:r>
      <w:r w:rsidRPr="00F7730C">
        <w:rPr>
          <w:noProof/>
          <w:sz w:val="24"/>
          <w:szCs w:val="24"/>
        </w:rPr>
        <w:t>Vocabulário técnico, documentos e tipos de avaliação</w:t>
      </w:r>
      <w:r w:rsidRPr="00F7730C">
        <w:rPr>
          <w:noProof/>
          <w:sz w:val="24"/>
          <w:szCs w:val="24"/>
        </w:rPr>
        <w:tab/>
      </w:r>
      <w:r w:rsidR="0071261C" w:rsidRPr="00F7730C">
        <w:rPr>
          <w:noProof/>
          <w:sz w:val="24"/>
          <w:szCs w:val="24"/>
        </w:rPr>
        <w:fldChar w:fldCharType="begin"/>
      </w:r>
      <w:r w:rsidRPr="00F7730C">
        <w:rPr>
          <w:noProof/>
          <w:sz w:val="24"/>
          <w:szCs w:val="24"/>
        </w:rPr>
        <w:instrText xml:space="preserve"> PAGEREF _Toc353979911 \h </w:instrText>
      </w:r>
      <w:r w:rsidR="0071261C" w:rsidRPr="00F7730C">
        <w:rPr>
          <w:noProof/>
          <w:sz w:val="24"/>
          <w:szCs w:val="24"/>
        </w:rPr>
      </w:r>
      <w:r w:rsidR="0071261C" w:rsidRPr="00F7730C">
        <w:rPr>
          <w:noProof/>
          <w:sz w:val="24"/>
          <w:szCs w:val="24"/>
        </w:rPr>
        <w:fldChar w:fldCharType="separate"/>
      </w:r>
      <w:r w:rsidR="00EA587E">
        <w:rPr>
          <w:noProof/>
          <w:sz w:val="24"/>
          <w:szCs w:val="24"/>
        </w:rPr>
        <w:t>10</w:t>
      </w:r>
      <w:r w:rsidR="0071261C" w:rsidRPr="00F7730C">
        <w:rPr>
          <w:noProof/>
          <w:sz w:val="24"/>
          <w:szCs w:val="24"/>
        </w:rPr>
        <w:fldChar w:fldCharType="end"/>
      </w:r>
    </w:p>
    <w:p w:rsidR="00F7730C" w:rsidRPr="00F7730C" w:rsidRDefault="00F7730C">
      <w:pPr>
        <w:pStyle w:val="Sumrio1"/>
        <w:tabs>
          <w:tab w:val="left" w:pos="440"/>
          <w:tab w:val="right" w:leader="dot" w:pos="8494"/>
        </w:tabs>
        <w:rPr>
          <w:rFonts w:eastAsiaTheme="minorEastAsia"/>
          <w:noProof/>
          <w:sz w:val="24"/>
          <w:szCs w:val="24"/>
          <w:lang w:eastAsia="pt-BR"/>
        </w:rPr>
      </w:pPr>
      <w:r w:rsidRPr="00F7730C">
        <w:rPr>
          <w:noProof/>
          <w:sz w:val="24"/>
          <w:szCs w:val="24"/>
        </w:rPr>
        <w:t>5.</w:t>
      </w:r>
      <w:r w:rsidRPr="00F7730C">
        <w:rPr>
          <w:rFonts w:eastAsiaTheme="minorEastAsia"/>
          <w:noProof/>
          <w:sz w:val="24"/>
          <w:szCs w:val="24"/>
          <w:lang w:eastAsia="pt-BR"/>
        </w:rPr>
        <w:tab/>
      </w:r>
      <w:r w:rsidRPr="00F7730C">
        <w:rPr>
          <w:noProof/>
          <w:sz w:val="24"/>
          <w:szCs w:val="24"/>
        </w:rPr>
        <w:t>Legislação de referência</w:t>
      </w:r>
      <w:r w:rsidRPr="00F7730C">
        <w:rPr>
          <w:noProof/>
          <w:sz w:val="24"/>
          <w:szCs w:val="24"/>
        </w:rPr>
        <w:tab/>
      </w:r>
      <w:r w:rsidR="0071261C" w:rsidRPr="00F7730C">
        <w:rPr>
          <w:noProof/>
          <w:sz w:val="24"/>
          <w:szCs w:val="24"/>
        </w:rPr>
        <w:fldChar w:fldCharType="begin"/>
      </w:r>
      <w:r w:rsidRPr="00F7730C">
        <w:rPr>
          <w:noProof/>
          <w:sz w:val="24"/>
          <w:szCs w:val="24"/>
        </w:rPr>
        <w:instrText xml:space="preserve"> PAGEREF _Toc353979912 \h </w:instrText>
      </w:r>
      <w:r w:rsidR="0071261C" w:rsidRPr="00F7730C">
        <w:rPr>
          <w:noProof/>
          <w:sz w:val="24"/>
          <w:szCs w:val="24"/>
        </w:rPr>
      </w:r>
      <w:r w:rsidR="0071261C" w:rsidRPr="00F7730C">
        <w:rPr>
          <w:noProof/>
          <w:sz w:val="24"/>
          <w:szCs w:val="24"/>
        </w:rPr>
        <w:fldChar w:fldCharType="separate"/>
      </w:r>
      <w:r w:rsidR="00EA587E">
        <w:rPr>
          <w:noProof/>
          <w:sz w:val="24"/>
          <w:szCs w:val="24"/>
        </w:rPr>
        <w:t>13</w:t>
      </w:r>
      <w:r w:rsidR="0071261C" w:rsidRPr="00F7730C">
        <w:rPr>
          <w:noProof/>
          <w:sz w:val="24"/>
          <w:szCs w:val="24"/>
        </w:rPr>
        <w:fldChar w:fldCharType="end"/>
      </w:r>
    </w:p>
    <w:p w:rsidR="00F7730C" w:rsidRPr="00F7730C" w:rsidRDefault="00F7730C">
      <w:pPr>
        <w:pStyle w:val="Sumrio1"/>
        <w:tabs>
          <w:tab w:val="left" w:pos="440"/>
          <w:tab w:val="right" w:leader="dot" w:pos="8494"/>
        </w:tabs>
        <w:rPr>
          <w:rFonts w:eastAsiaTheme="minorEastAsia"/>
          <w:noProof/>
          <w:sz w:val="24"/>
          <w:szCs w:val="24"/>
          <w:lang w:eastAsia="pt-BR"/>
        </w:rPr>
      </w:pPr>
      <w:r w:rsidRPr="00F7730C">
        <w:rPr>
          <w:noProof/>
          <w:sz w:val="24"/>
          <w:szCs w:val="24"/>
        </w:rPr>
        <w:t>6.</w:t>
      </w:r>
      <w:r w:rsidRPr="00F7730C">
        <w:rPr>
          <w:rFonts w:eastAsiaTheme="minorEastAsia"/>
          <w:noProof/>
          <w:sz w:val="24"/>
          <w:szCs w:val="24"/>
          <w:lang w:eastAsia="pt-BR"/>
        </w:rPr>
        <w:tab/>
      </w:r>
      <w:r w:rsidRPr="00F7730C">
        <w:rPr>
          <w:noProof/>
          <w:sz w:val="24"/>
          <w:szCs w:val="24"/>
        </w:rPr>
        <w:t>REFERÊNCIAS:</w:t>
      </w:r>
      <w:r w:rsidRPr="00F7730C">
        <w:rPr>
          <w:noProof/>
          <w:sz w:val="24"/>
          <w:szCs w:val="24"/>
        </w:rPr>
        <w:tab/>
      </w:r>
      <w:r w:rsidR="0071261C" w:rsidRPr="00F7730C">
        <w:rPr>
          <w:noProof/>
          <w:sz w:val="24"/>
          <w:szCs w:val="24"/>
        </w:rPr>
        <w:fldChar w:fldCharType="begin"/>
      </w:r>
      <w:r w:rsidRPr="00F7730C">
        <w:rPr>
          <w:noProof/>
          <w:sz w:val="24"/>
          <w:szCs w:val="24"/>
        </w:rPr>
        <w:instrText xml:space="preserve"> PAGEREF _Toc353979913 \h </w:instrText>
      </w:r>
      <w:r w:rsidR="0071261C" w:rsidRPr="00F7730C">
        <w:rPr>
          <w:noProof/>
          <w:sz w:val="24"/>
          <w:szCs w:val="24"/>
        </w:rPr>
      </w:r>
      <w:r w:rsidR="0071261C" w:rsidRPr="00F7730C">
        <w:rPr>
          <w:noProof/>
          <w:sz w:val="24"/>
          <w:szCs w:val="24"/>
        </w:rPr>
        <w:fldChar w:fldCharType="separate"/>
      </w:r>
      <w:r w:rsidR="00EA587E">
        <w:rPr>
          <w:noProof/>
          <w:sz w:val="24"/>
          <w:szCs w:val="24"/>
        </w:rPr>
        <w:t>14</w:t>
      </w:r>
      <w:r w:rsidR="0071261C" w:rsidRPr="00F7730C">
        <w:rPr>
          <w:noProof/>
          <w:sz w:val="24"/>
          <w:szCs w:val="24"/>
        </w:rPr>
        <w:fldChar w:fldCharType="end"/>
      </w:r>
    </w:p>
    <w:p w:rsidR="00144489" w:rsidRPr="00F7730C" w:rsidRDefault="0071261C" w:rsidP="003325A6">
      <w:pPr>
        <w:pStyle w:val="Ttulo1"/>
        <w:spacing w:line="360" w:lineRule="auto"/>
        <w:rPr>
          <w:sz w:val="24"/>
          <w:szCs w:val="24"/>
        </w:rPr>
      </w:pPr>
      <w:r w:rsidRPr="00F7730C">
        <w:rPr>
          <w:sz w:val="24"/>
          <w:szCs w:val="24"/>
        </w:rPr>
        <w:fldChar w:fldCharType="end"/>
      </w:r>
    </w:p>
    <w:p w:rsidR="00144489" w:rsidRPr="00E35647" w:rsidRDefault="00144489" w:rsidP="003325A6">
      <w:pPr>
        <w:spacing w:after="0" w:line="360" w:lineRule="auto"/>
        <w:rPr>
          <w:rFonts w:ascii="Verdana" w:hAnsi="Verdana"/>
          <w:b/>
          <w:i/>
          <w:color w:val="548DD4" w:themeColor="text2" w:themeTint="99"/>
          <w:sz w:val="32"/>
          <w:szCs w:val="32"/>
        </w:rPr>
      </w:pPr>
    </w:p>
    <w:p w:rsidR="00144489" w:rsidRPr="00E35647" w:rsidRDefault="00144489" w:rsidP="003325A6">
      <w:pPr>
        <w:spacing w:after="0" w:line="360" w:lineRule="auto"/>
        <w:rPr>
          <w:rFonts w:ascii="Verdana" w:hAnsi="Verdana"/>
          <w:b/>
          <w:i/>
          <w:color w:val="548DD4" w:themeColor="text2" w:themeTint="99"/>
          <w:sz w:val="32"/>
          <w:szCs w:val="32"/>
        </w:rPr>
      </w:pPr>
    </w:p>
    <w:p w:rsidR="00CE5F84" w:rsidRDefault="00CE5F84" w:rsidP="003325A6">
      <w:pPr>
        <w:spacing w:after="0" w:line="360" w:lineRule="auto"/>
        <w:rPr>
          <w:rFonts w:ascii="Verdana" w:hAnsi="Verdana"/>
          <w:b/>
          <w:i/>
          <w:color w:val="548DD4" w:themeColor="text2" w:themeTint="99"/>
          <w:sz w:val="32"/>
          <w:szCs w:val="32"/>
        </w:rPr>
        <w:sectPr w:rsidR="00CE5F84" w:rsidSect="00EB786D">
          <w:headerReference w:type="default" r:id="rId12"/>
          <w:footerReference w:type="default" r:id="rId13"/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:rsidR="00594FD9" w:rsidRDefault="00594FD9" w:rsidP="00446900">
      <w:pPr>
        <w:pStyle w:val="Ttulo1"/>
        <w:numPr>
          <w:ilvl w:val="0"/>
          <w:numId w:val="14"/>
        </w:numPr>
        <w:ind w:hanging="720"/>
      </w:pPr>
      <w:bookmarkStart w:id="0" w:name="_Toc353979908"/>
      <w:r w:rsidRPr="00E35647">
        <w:lastRenderedPageBreak/>
        <w:t>O uso do cronotacógrafo no Brasil</w:t>
      </w:r>
      <w:bookmarkEnd w:id="0"/>
    </w:p>
    <w:p w:rsidR="00082EA1" w:rsidRPr="00082EA1" w:rsidRDefault="00082EA1" w:rsidP="00082EA1"/>
    <w:p w:rsidR="003325A6" w:rsidRPr="00E35647" w:rsidRDefault="003325A6" w:rsidP="003325A6">
      <w:pPr>
        <w:pStyle w:val="PargrafodaLista"/>
        <w:spacing w:after="0" w:line="360" w:lineRule="auto"/>
        <w:ind w:left="709"/>
        <w:jc w:val="both"/>
        <w:rPr>
          <w:rFonts w:ascii="Verdana" w:hAnsi="Verdana"/>
          <w:color w:val="548DD4" w:themeColor="text2" w:themeTint="99"/>
          <w:sz w:val="32"/>
          <w:szCs w:val="32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O Brasil está entre os países que tornaram o uso do cronotacógrafo obrigatório em ônibus e caminhões. Desde 1997, quando foi instituído o Código de Trânsito Brasileiro, veículos de carga com peso bruto superior a 4.536 kg e de passageiros com mais de 10 lugares devem possuir cronotacógrafo. A partir de 2009, o Inmetro passou a verificar periodicamente os instrumentos, o que aumentou a confiabilidade das medições.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A importância do uso do cronotacógrafo vem crescendo ao longo dos anos em consequência do número de acidentes fatais, envolvendo ônibus e caminhões. O instrumento inibe os excessos e ajuda a reduzir os acidentes, uma vez que registra o histórico das velocidades desenvolvidas, distâncias percorridas e tempos de movimento e paradas do veículo.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No Brasil cabe ao Inmetro realizar a verificação dos cronotacógrafos fabricados, importados e já instalados em veículos, por meio de autoverificação, verificação inicial e verificações subsequentes.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O modelo adotado para a realização das verificações subsequentes foi o de parceria público-privada, através do credenciamento de empresas para a realização do ensaio metrológico, o qual subsidiará as verificações subsequentes realizadas pelos Órgãos Delegados integrantes da Rede Brasileira de Metrologia Legal e Qualidade – Inmetro (RBMLQ-I).</w:t>
      </w:r>
    </w:p>
    <w:p w:rsidR="00594FD9" w:rsidRPr="00E35647" w:rsidRDefault="00594FD9" w:rsidP="003325A6">
      <w:pPr>
        <w:spacing w:line="360" w:lineRule="auto"/>
        <w:rPr>
          <w:rFonts w:ascii="Verdana" w:hAnsi="Verdana"/>
        </w:rPr>
      </w:pPr>
    </w:p>
    <w:p w:rsidR="00594FD9" w:rsidRPr="00446900" w:rsidRDefault="00594FD9" w:rsidP="00446900">
      <w:pPr>
        <w:pStyle w:val="Ttulo1"/>
        <w:numPr>
          <w:ilvl w:val="0"/>
          <w:numId w:val="14"/>
        </w:numPr>
        <w:ind w:left="0" w:firstLine="0"/>
        <w:jc w:val="both"/>
      </w:pPr>
      <w:bookmarkStart w:id="1" w:name="_Toc353979909"/>
      <w:r w:rsidRPr="00446900">
        <w:t xml:space="preserve">Credenciamento de empresas para </w:t>
      </w:r>
      <w:r w:rsidR="00446900" w:rsidRPr="00446900">
        <w:t>r</w:t>
      </w:r>
      <w:r w:rsidRPr="00446900">
        <w:t>ealização do ensaio metrológico</w:t>
      </w:r>
      <w:bookmarkEnd w:id="1"/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 xml:space="preserve">O processo de credenciamento de um candidato a posto de ensaio constitui-se, basicamente, de 2 etapas distintas: a manifestação de </w:t>
      </w:r>
      <w:r w:rsidRPr="00E35647">
        <w:rPr>
          <w:rFonts w:ascii="Verdana" w:hAnsi="Verdana" w:cs="Times New Roman"/>
        </w:rPr>
        <w:lastRenderedPageBreak/>
        <w:t>interesse em se tornar um posto de ensaio, análise da documentação e avaliação do candidato a posto de ensaio, etapa esta que compreende a visita às instalações do solicitante para acompanhar se o posto está de acordo com que declarou previamente por meio da documentação apresentada.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 xml:space="preserve"> A etapa de análise de documentação é realizada integralmente pela Superintendência do Inmetro no Rio Grande do Sul (Surrs) e a avaliação somente é agendada quando a documentação do posto de ensaio  atender plenamente os requisitos do Edital Inmetro 01/2011.</w:t>
      </w:r>
    </w:p>
    <w:p w:rsidR="00594FD9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Segundo Dallari (2006), o credenciamento pode ser definido como:</w:t>
      </w:r>
    </w:p>
    <w:p w:rsidR="00AE7524" w:rsidRPr="00E35647" w:rsidRDefault="0071261C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71261C">
        <w:rPr>
          <w:rFonts w:ascii="Verdana" w:hAnsi="Verdana" w:cs="Times New Roman"/>
          <w:noProof/>
          <w:lang w:val="en-US"/>
        </w:rPr>
        <w:pict>
          <v:roundrect id="Text Box 3" o:spid="_x0000_s1060" style="position:absolute;left:0;text-align:left;margin-left:9pt;margin-top:24.15pt;width:416.95pt;height:145.3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Text Box 3">
              <w:txbxContent>
                <w:p w:rsidR="00AF2328" w:rsidRPr="00200199" w:rsidRDefault="00AF2328" w:rsidP="00082EA1">
                  <w:pPr>
                    <w:jc w:val="both"/>
                    <w:rPr>
                      <w:rFonts w:ascii="Tahoma" w:hAnsi="Tahoma" w:cs="Tahoma"/>
                    </w:rPr>
                  </w:pPr>
                  <w:r w:rsidRPr="00200199">
                    <w:rPr>
                      <w:rFonts w:ascii="Tahoma" w:hAnsi="Tahoma" w:cs="Tahoma"/>
                    </w:rPr>
                    <w:t xml:space="preserve">Ato ou contrato formal pelo qual a administração pública confere a um particular, pessoa física ou jurídica a prerrogativa de exercer certas atividades materiais ou técnicas, em caráter instrumental ou de colaboração com o poder público, a </w:t>
                  </w:r>
                  <w:proofErr w:type="gramStart"/>
                  <w:r w:rsidRPr="00200199">
                    <w:rPr>
                      <w:rFonts w:ascii="Tahoma" w:hAnsi="Tahoma" w:cs="Tahoma"/>
                    </w:rPr>
                    <w:t>título oneroso, ou remuneradas diretamente pelos interessados</w:t>
                  </w:r>
                  <w:proofErr w:type="gramEnd"/>
                  <w:r w:rsidRPr="00200199">
                    <w:rPr>
                      <w:rFonts w:ascii="Tahoma" w:hAnsi="Tahoma" w:cs="Tahoma"/>
                    </w:rPr>
                    <w:t>, sendo que o resultado dos trabalhos executados desfruta de especial credibilidade, tendo o outorgante o poder/dever de exercer a fiscalização, podendo até mesmo extinguir a outorga, assegurados os direitos e interesses patrimoniais do outorgado inocente ou de boa fé”</w:t>
                  </w:r>
                </w:p>
                <w:p w:rsidR="00AF2328" w:rsidRDefault="00AF2328" w:rsidP="00594FD9">
                  <w:pPr>
                    <w:jc w:val="center"/>
                  </w:pPr>
                </w:p>
              </w:txbxContent>
            </v:textbox>
          </v:roundrect>
        </w:pic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 xml:space="preserve"> A fundamentação que permite o credenciamento de entidades para atividades materiais, técnicas assessórias ao Inmetro é dada pela Lei 12.545, de 14 de dezembro de 2011:</w:t>
      </w:r>
    </w:p>
    <w:p w:rsidR="00082EA1" w:rsidRDefault="0071261C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71261C">
        <w:rPr>
          <w:rFonts w:ascii="Verdana" w:hAnsi="Verdana" w:cs="Times New Roman"/>
          <w:noProof/>
          <w:lang w:val="en-US"/>
        </w:rPr>
        <w:pict>
          <v:roundrect id="Text Box 4" o:spid="_x0000_s1061" style="position:absolute;left:0;text-align:left;margin-left:2.35pt;margin-top:8.25pt;width:423.6pt;height:141.5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Text Box 4">
              <w:txbxContent>
                <w:p w:rsidR="00AF2328" w:rsidRPr="00200199" w:rsidRDefault="00AF2328" w:rsidP="00594FD9">
                  <w:pPr>
                    <w:jc w:val="both"/>
                    <w:rPr>
                      <w:rFonts w:ascii="Tahoma" w:hAnsi="Tahoma" w:cs="Tahoma"/>
                    </w:rPr>
                  </w:pPr>
                  <w:r w:rsidRPr="00200199">
                    <w:rPr>
                      <w:rFonts w:ascii="Tahoma" w:hAnsi="Tahoma" w:cs="Tahoma"/>
                      <w:b/>
                    </w:rPr>
                    <w:t>Art. 4o  ......................................................................... </w:t>
                  </w:r>
                </w:p>
                <w:p w:rsidR="00AF2328" w:rsidRPr="00200199" w:rsidRDefault="0071261C" w:rsidP="00594FD9">
                  <w:pPr>
                    <w:jc w:val="both"/>
                    <w:rPr>
                      <w:rFonts w:ascii="Tahoma" w:hAnsi="Tahoma" w:cs="Tahoma"/>
                    </w:rPr>
                  </w:pPr>
                  <w:hyperlink r:id="rId14" w:anchor="art4§1." w:history="1">
                    <w:r w:rsidR="00AF2328" w:rsidRPr="00200199">
                      <w:rPr>
                        <w:rFonts w:ascii="Tahoma" w:hAnsi="Tahoma" w:cs="Tahoma"/>
                        <w:b/>
                      </w:rPr>
                      <w:t>§ 1o</w:t>
                    </w:r>
                  </w:hyperlink>
                  <w:r w:rsidR="00AF2328" w:rsidRPr="00200199">
                    <w:rPr>
                      <w:rFonts w:ascii="Tahoma" w:hAnsi="Tahoma" w:cs="Tahoma"/>
                    </w:rPr>
                    <w:t xml:space="preserve">  As atividades materiais e acessórias da metrologia legal e da avaliação da conformidade compulsória, de caráter técnico, que não impliquem o exercício de poder de polícia administrativa, poderão ser realizadas por terceiros mediante delegação, </w:t>
                  </w:r>
                  <w:proofErr w:type="spellStart"/>
                  <w:r w:rsidR="00AF2328" w:rsidRPr="00200199">
                    <w:rPr>
                      <w:rFonts w:ascii="Tahoma" w:hAnsi="Tahoma" w:cs="Tahoma"/>
                    </w:rPr>
                    <w:t>acreditação</w:t>
                  </w:r>
                  <w:proofErr w:type="spellEnd"/>
                  <w:r w:rsidR="00AF2328" w:rsidRPr="00200199">
                    <w:rPr>
                      <w:rFonts w:ascii="Tahoma" w:hAnsi="Tahoma" w:cs="Tahoma"/>
                    </w:rPr>
                    <w:t>, credenciamento, designação, contratação ou celebração de convênio, termo de cooperação, termo de parceria ou instrumento congênere, sob controle, supervisão e/ou registro administrativo pelo Inmetro.</w:t>
                  </w:r>
                </w:p>
                <w:p w:rsidR="00AF2328" w:rsidRPr="00E56428" w:rsidRDefault="00AF2328" w:rsidP="00594FD9"/>
              </w:txbxContent>
            </v:textbox>
          </v:roundrect>
        </w:pict>
      </w:r>
    </w:p>
    <w:p w:rsidR="00082EA1" w:rsidRDefault="00082EA1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082EA1" w:rsidRPr="00E35647" w:rsidRDefault="00082EA1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Segundo a norma ABNT NBR ISO/IEC 17000:2005, auditoria é definida como:</w:t>
      </w:r>
    </w:p>
    <w:p w:rsidR="00594FD9" w:rsidRPr="00E35647" w:rsidRDefault="0071261C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71261C">
        <w:rPr>
          <w:rFonts w:ascii="Verdana" w:hAnsi="Verdana" w:cs="Times New Roman"/>
          <w:noProof/>
          <w:lang w:val="en-US"/>
        </w:rPr>
        <w:pict>
          <v:roundrect id="Text Box 5" o:spid="_x0000_s1062" style="position:absolute;left:0;text-align:left;margin-left:0;margin-top:5.45pt;width:415.25pt;height:11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Text Box 5">
              <w:txbxContent>
                <w:p w:rsidR="00AF2328" w:rsidRPr="00200199" w:rsidRDefault="00AF2328" w:rsidP="00594FD9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 w:rsidRPr="00200199">
                    <w:rPr>
                      <w:rFonts w:ascii="Tahoma" w:hAnsi="Tahoma" w:cs="Tahoma"/>
                    </w:rPr>
                    <w:t xml:space="preserve">Um processo sistemático, independente e documentado, para obter registros, afirmações de fatos ou outras informações pertinentes e avaliá-los de maneira objetiva para determinar a extensão na qual os requisitos especificados são atendidos. </w:t>
                  </w:r>
                  <w:r w:rsidRPr="00200199">
                    <w:rPr>
                      <w:rFonts w:ascii="Tahoma" w:hAnsi="Tahoma" w:cs="Tahoma"/>
                      <w:b/>
                    </w:rPr>
                    <w:t>Enquanto o termo auditoria se aplica aos sistemas de gestão, o termo avaliação se aplica aos organismos de avaliação da conformidade, bem como de maneira mais genérica.</w:t>
                  </w:r>
                </w:p>
                <w:p w:rsidR="00AF2328" w:rsidRPr="00E56428" w:rsidRDefault="00AF2328" w:rsidP="00594FD9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F2328" w:rsidRPr="00E56428" w:rsidRDefault="00AF2328" w:rsidP="00594FD9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F2328" w:rsidRPr="00E56428" w:rsidRDefault="00AF2328" w:rsidP="00594FD9"/>
              </w:txbxContent>
            </v:textbox>
          </v:roundrect>
        </w:pic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ab/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E, ainda de acordo com essa mesma norma, o termo avaliação da conformidade é definido como:</w:t>
      </w:r>
    </w:p>
    <w:p w:rsidR="00594FD9" w:rsidRPr="00E35647" w:rsidRDefault="0071261C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71261C">
        <w:rPr>
          <w:rFonts w:ascii="Verdana" w:hAnsi="Verdana" w:cs="Times New Roman"/>
          <w:noProof/>
          <w:lang w:val="en-US"/>
        </w:rPr>
        <w:pict>
          <v:roundrect id="Text Box 6" o:spid="_x0000_s1063" style="position:absolute;left:0;text-align:left;margin-left:0;margin-top:10.85pt;width:424.5pt;height:4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Text Box 6">
              <w:txbxContent>
                <w:p w:rsidR="00AF2328" w:rsidRPr="00200199" w:rsidRDefault="00AF2328" w:rsidP="00594FD9">
                  <w:pPr>
                    <w:jc w:val="both"/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 w:rsidRPr="00200199">
                    <w:rPr>
                      <w:rFonts w:ascii="Tahoma" w:hAnsi="Tahoma" w:cs="Tahoma"/>
                    </w:rPr>
                    <w:t>Demonstração de que os requisitos especificados relativos a um produto, processo, sistema, pessoa ou organismo são atendidos.</w:t>
                  </w:r>
                </w:p>
              </w:txbxContent>
            </v:textbox>
          </v:roundrect>
        </w:pic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Cabe aos postos de ensaio credenciados pelo Inmetro a realização dos ensaios de conformidade ao modelo aprovado, à selagem e à determinação de erros.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 xml:space="preserve"> Assim, denomina-se  avaliação a atividade realizada pelo Inmetro nos postos de ensaio que se candidatam ao credenciamento. Essa atividade tem a finalidade de  analisar se o posto atende às exigências estabelecidas pelo Edital Inmetro nº 01/2011. </w:t>
      </w:r>
    </w:p>
    <w:p w:rsidR="00594FD9" w:rsidRDefault="00594FD9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086EF0" w:rsidRDefault="00086EF0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086EF0" w:rsidRDefault="00086EF0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086EF0" w:rsidRPr="00E35647" w:rsidRDefault="00086EF0" w:rsidP="003325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</w:p>
    <w:p w:rsidR="00594FD9" w:rsidRPr="004904D0" w:rsidRDefault="00594FD9" w:rsidP="004904D0">
      <w:pPr>
        <w:pStyle w:val="Ttulo1"/>
        <w:numPr>
          <w:ilvl w:val="0"/>
          <w:numId w:val="14"/>
        </w:numPr>
        <w:ind w:left="0" w:firstLine="0"/>
        <w:jc w:val="both"/>
      </w:pPr>
      <w:bookmarkStart w:id="2" w:name="_Toc353979910"/>
      <w:r w:rsidRPr="004904D0">
        <w:lastRenderedPageBreak/>
        <w:t>Partes envolvidas no processo</w:t>
      </w:r>
      <w:bookmarkEnd w:id="2"/>
    </w:p>
    <w:p w:rsidR="00594FD9" w:rsidRPr="00E35647" w:rsidRDefault="00594FD9" w:rsidP="003325A6">
      <w:pPr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 xml:space="preserve">Em função de o ensaio em cronotacógrafos ser um serviço diferenciado, inédito na execução de atividades de metrologia, foram definidos termos para designar as partes que participam deste sistema complexo, o qual subsidia as verificações, que é o credenciamento de posto de ensaio em cronotacógrafo. Esses termos são estabelecidos pelo Edital Inmetro 01/2011, a seguir os destacamos. </w:t>
      </w:r>
      <w:bookmarkStart w:id="3" w:name="_GoBack"/>
      <w:bookmarkEnd w:id="3"/>
    </w:p>
    <w:p w:rsidR="00594FD9" w:rsidRPr="00E35647" w:rsidRDefault="00594FD9" w:rsidP="00725057">
      <w:pPr>
        <w:spacing w:line="360" w:lineRule="auto"/>
        <w:jc w:val="both"/>
        <w:rPr>
          <w:rFonts w:ascii="Verdana" w:hAnsi="Verdana" w:cs="Times New Roman"/>
        </w:rPr>
      </w:pPr>
    </w:p>
    <w:p w:rsidR="0007003E" w:rsidRPr="00725057" w:rsidRDefault="00594FD9" w:rsidP="00725057">
      <w:pPr>
        <w:pStyle w:val="PargrafodaLista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725057">
        <w:rPr>
          <w:rFonts w:ascii="Verdana" w:hAnsi="Verdana" w:cs="Times New Roman"/>
          <w:b/>
          <w:color w:val="548DD4" w:themeColor="text2" w:themeTint="99"/>
          <w:sz w:val="24"/>
          <w:szCs w:val="24"/>
        </w:rPr>
        <w:t>Oficina Autorizada:</w:t>
      </w:r>
    </w:p>
    <w:p w:rsidR="00594FD9" w:rsidRPr="00E35647" w:rsidRDefault="0007003E" w:rsidP="00725057">
      <w:pPr>
        <w:pStyle w:val="PargrafodaLista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P</w:t>
      </w:r>
      <w:r w:rsidR="00594FD9" w:rsidRPr="00E35647">
        <w:rPr>
          <w:rFonts w:ascii="Verdana" w:hAnsi="Verdana" w:cs="Times New Roman"/>
        </w:rPr>
        <w:t>essoa jurídica que declara possuir equipamento e mão de obra qualificada para executar a manutenção de cronotacógrafos, com competência técnica para atuar como prestador de serviços de instalação, reparo e manutenção dos instrumentos que fabrica e/ou comercializa.</w:t>
      </w:r>
    </w:p>
    <w:p w:rsidR="00594FD9" w:rsidRPr="00E35647" w:rsidRDefault="00594FD9" w:rsidP="00725057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</w:p>
    <w:p w:rsidR="0007003E" w:rsidRDefault="00594FD9" w:rsidP="00725057">
      <w:pPr>
        <w:pStyle w:val="PargrafodaLista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  <w:b/>
          <w:color w:val="548DD4" w:themeColor="text2" w:themeTint="99"/>
          <w:sz w:val="24"/>
          <w:szCs w:val="24"/>
        </w:rPr>
        <w:t>Ensaio</w:t>
      </w:r>
      <w:r w:rsidRPr="0007003E">
        <w:rPr>
          <w:rFonts w:ascii="Verdana" w:hAnsi="Verdana" w:cs="Times New Roman"/>
          <w:color w:val="548DD4" w:themeColor="text2" w:themeTint="99"/>
        </w:rPr>
        <w:t>:</w:t>
      </w:r>
      <w:r w:rsidRPr="00E35647">
        <w:rPr>
          <w:rFonts w:ascii="Verdana" w:hAnsi="Verdana" w:cs="Times New Roman"/>
        </w:rPr>
        <w:t xml:space="preserve"> </w:t>
      </w:r>
    </w:p>
    <w:p w:rsidR="00594FD9" w:rsidRPr="00E35647" w:rsidRDefault="00725057" w:rsidP="00725057">
      <w:pPr>
        <w:pStyle w:val="PargrafodaLista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C</w:t>
      </w:r>
      <w:r w:rsidR="00594FD9" w:rsidRPr="00E35647">
        <w:rPr>
          <w:rFonts w:ascii="Verdana" w:hAnsi="Verdana" w:cs="Times New Roman"/>
        </w:rPr>
        <w:t>onjunto de procedimentos realizados em cronotacógrafos selados utilizando equipamento de verificação, dotado de banco de rolos, destinado a subsidiar a verificação realizada pelo Inmetro.</w:t>
      </w:r>
    </w:p>
    <w:p w:rsidR="00594FD9" w:rsidRPr="00E35647" w:rsidRDefault="00594FD9" w:rsidP="00725057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</w:p>
    <w:p w:rsidR="00725057" w:rsidRPr="00725057" w:rsidRDefault="00594FD9" w:rsidP="00725057">
      <w:pPr>
        <w:pStyle w:val="PargrafodaLista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E35647">
        <w:rPr>
          <w:rFonts w:ascii="Verdana" w:hAnsi="Verdana" w:cs="Times New Roman"/>
          <w:b/>
        </w:rPr>
        <w:t xml:space="preserve"> </w:t>
      </w:r>
      <w:r w:rsidRPr="00725057">
        <w:rPr>
          <w:rFonts w:ascii="Verdana" w:hAnsi="Verdana" w:cs="Times New Roman"/>
          <w:b/>
          <w:color w:val="548DD4" w:themeColor="text2" w:themeTint="99"/>
          <w:sz w:val="24"/>
          <w:szCs w:val="24"/>
        </w:rPr>
        <w:t>Ensaio preliminar:</w:t>
      </w:r>
      <w:r w:rsidRPr="00725057">
        <w:rPr>
          <w:rFonts w:ascii="Verdana" w:hAnsi="Verdana" w:cs="Times New Roman"/>
          <w:sz w:val="24"/>
          <w:szCs w:val="24"/>
        </w:rPr>
        <w:t xml:space="preserve"> </w:t>
      </w:r>
    </w:p>
    <w:p w:rsidR="00594FD9" w:rsidRPr="00E35647" w:rsidRDefault="00725057" w:rsidP="00725057">
      <w:pPr>
        <w:pStyle w:val="PargrafodaLista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C</w:t>
      </w:r>
      <w:r w:rsidR="00594FD9" w:rsidRPr="00E35647">
        <w:rPr>
          <w:rFonts w:ascii="Verdana" w:hAnsi="Verdana" w:cs="Times New Roman"/>
        </w:rPr>
        <w:t>onjunto de procedimentos realizados em bancada dotada de padrão eletrônico a partir da determinação da constante “w” do conjunto formado pelo instrumento e veículo no qual se encontra instalado, ou outro declarado pelo proprietário ou fabricante do veículo aceito pelo Inmetro destinado a avaliar preliminarmente a qualidade da medição do instrumento.</w:t>
      </w:r>
    </w:p>
    <w:p w:rsidR="00594FD9" w:rsidRPr="00E35647" w:rsidRDefault="00594FD9" w:rsidP="00725057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</w:p>
    <w:p w:rsidR="00725057" w:rsidRPr="00725057" w:rsidRDefault="00594FD9" w:rsidP="00725057">
      <w:pPr>
        <w:pStyle w:val="PargrafodaLista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725057">
        <w:rPr>
          <w:rFonts w:ascii="Verdana" w:hAnsi="Verdana" w:cs="Times New Roman"/>
          <w:b/>
          <w:color w:val="548DD4" w:themeColor="text2" w:themeTint="99"/>
          <w:sz w:val="24"/>
          <w:szCs w:val="24"/>
        </w:rPr>
        <w:t>Posto de selagem:</w:t>
      </w:r>
      <w:r w:rsidRPr="00725057">
        <w:rPr>
          <w:rFonts w:ascii="Verdana" w:hAnsi="Verdana" w:cs="Times New Roman"/>
          <w:sz w:val="24"/>
          <w:szCs w:val="24"/>
        </w:rPr>
        <w:t xml:space="preserve"> </w:t>
      </w:r>
    </w:p>
    <w:p w:rsidR="00594FD9" w:rsidRPr="00E35647" w:rsidRDefault="00725057" w:rsidP="00725057">
      <w:pPr>
        <w:pStyle w:val="PargrafodaLista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O</w:t>
      </w:r>
      <w:r w:rsidR="00594FD9" w:rsidRPr="00E35647">
        <w:rPr>
          <w:rFonts w:ascii="Verdana" w:hAnsi="Verdana" w:cs="Times New Roman"/>
        </w:rPr>
        <w:t>ficina que, atendendo às exigências do edital Inmetro nº 01/2011, é cadastrada pelo Inmetro ou por órgão integrante da RBMLQ-I, para afixação dos selos (denominado “selagem” no âmbito do referido edital) e realização de ensaio preliminar em cronotacógrafos.</w:t>
      </w:r>
    </w:p>
    <w:p w:rsidR="00594FD9" w:rsidRDefault="00594FD9" w:rsidP="00725057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</w:p>
    <w:p w:rsidR="00725057" w:rsidRPr="00E35647" w:rsidRDefault="00725057" w:rsidP="00725057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</w:p>
    <w:p w:rsidR="00725057" w:rsidRPr="00725057" w:rsidRDefault="00594FD9" w:rsidP="00725057">
      <w:pPr>
        <w:pStyle w:val="PargrafodaLista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725057">
        <w:rPr>
          <w:rFonts w:ascii="Verdana" w:hAnsi="Verdana" w:cs="Times New Roman"/>
          <w:b/>
          <w:color w:val="548DD4" w:themeColor="text2" w:themeTint="99"/>
          <w:sz w:val="24"/>
          <w:szCs w:val="24"/>
        </w:rPr>
        <w:t>Posto de ensaio:</w:t>
      </w:r>
      <w:r w:rsidRPr="00725057">
        <w:rPr>
          <w:rFonts w:ascii="Verdana" w:hAnsi="Verdana" w:cs="Times New Roman"/>
          <w:sz w:val="24"/>
          <w:szCs w:val="24"/>
        </w:rPr>
        <w:t xml:space="preserve"> </w:t>
      </w:r>
    </w:p>
    <w:p w:rsidR="00594FD9" w:rsidRPr="00E35647" w:rsidRDefault="00725057" w:rsidP="00725057">
      <w:pPr>
        <w:pStyle w:val="PargrafodaLista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P</w:t>
      </w:r>
      <w:r w:rsidR="00594FD9" w:rsidRPr="00E35647">
        <w:rPr>
          <w:rFonts w:ascii="Verdana" w:hAnsi="Verdana" w:cs="Times New Roman"/>
        </w:rPr>
        <w:t>osto de selagem que, atendendo às exigências definidas no edital Inmetro nº 01/2011, é credenciado pelo Inmetro para realização de ensaios destinados a subsidiar a verificação subsequente de cronotacógrafos, conforme as regras e os procedimentos definidos nos itens 3, 5 e 6 do Regulamento Técnico Metrológico, aprovado pela Portaria Inmetro n.º 154, de 12 de agosto de 2005.</w:t>
      </w:r>
    </w:p>
    <w:p w:rsidR="00594FD9" w:rsidRPr="00E35647" w:rsidRDefault="00594FD9" w:rsidP="00725057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</w:p>
    <w:p w:rsidR="00725057" w:rsidRPr="00725057" w:rsidRDefault="00594FD9" w:rsidP="00725057">
      <w:pPr>
        <w:pStyle w:val="PargrafodaLista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725057">
        <w:rPr>
          <w:rFonts w:ascii="Verdana" w:hAnsi="Verdana" w:cs="Times New Roman"/>
          <w:b/>
          <w:color w:val="548DD4" w:themeColor="text2" w:themeTint="99"/>
          <w:sz w:val="24"/>
          <w:szCs w:val="24"/>
        </w:rPr>
        <w:t>Posto de verificação:</w:t>
      </w:r>
      <w:r w:rsidRPr="00725057">
        <w:rPr>
          <w:rFonts w:ascii="Verdana" w:hAnsi="Verdana" w:cs="Times New Roman"/>
          <w:sz w:val="24"/>
          <w:szCs w:val="24"/>
        </w:rPr>
        <w:t xml:space="preserve"> </w:t>
      </w:r>
    </w:p>
    <w:p w:rsidR="00594FD9" w:rsidRPr="00E35647" w:rsidRDefault="00725057" w:rsidP="00725057">
      <w:pPr>
        <w:pStyle w:val="PargrafodaLista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P</w:t>
      </w:r>
      <w:r w:rsidR="00594FD9" w:rsidRPr="00E35647">
        <w:rPr>
          <w:rFonts w:ascii="Verdana" w:hAnsi="Verdana" w:cs="Times New Roman"/>
        </w:rPr>
        <w:t>osto pertencente à RBMLQ-I, provido com equipamento para a realização de ensaio para verificação de cronotacógrafos.</w:t>
      </w:r>
    </w:p>
    <w:p w:rsidR="00594FD9" w:rsidRPr="00E35647" w:rsidRDefault="00594FD9" w:rsidP="00725057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</w:p>
    <w:p w:rsidR="00725057" w:rsidRPr="00725057" w:rsidRDefault="00594FD9" w:rsidP="00725057">
      <w:pPr>
        <w:pStyle w:val="PargrafodaLista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725057">
        <w:rPr>
          <w:rFonts w:ascii="Verdana" w:hAnsi="Verdana" w:cs="Times New Roman"/>
          <w:b/>
          <w:color w:val="548DD4" w:themeColor="text2" w:themeTint="99"/>
          <w:sz w:val="24"/>
          <w:szCs w:val="24"/>
        </w:rPr>
        <w:t>Oficina de selagem:</w:t>
      </w:r>
      <w:r w:rsidRPr="00725057">
        <w:rPr>
          <w:rFonts w:ascii="Verdana" w:hAnsi="Verdana" w:cs="Times New Roman"/>
          <w:sz w:val="24"/>
          <w:szCs w:val="24"/>
        </w:rPr>
        <w:t xml:space="preserve"> </w:t>
      </w:r>
    </w:p>
    <w:p w:rsidR="00594FD9" w:rsidRPr="00E35647" w:rsidRDefault="00725057" w:rsidP="00725057">
      <w:pPr>
        <w:pStyle w:val="PargrafodaLista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P</w:t>
      </w:r>
      <w:r w:rsidR="00594FD9" w:rsidRPr="00E35647">
        <w:rPr>
          <w:rFonts w:ascii="Verdana" w:hAnsi="Verdana" w:cs="Times New Roman"/>
        </w:rPr>
        <w:t>essoa jurídica, pública ou privada, cuja área comercial de atuação não inclui a manutenção de cronotacógrafos, mas que declara possuir equipamentos e mão de obra qualificada para executar a manutenção de cronotacógrafos, cadastrada pelo Inmetro ou por órgão delegado do mesmo para, exclusivamente, realizar a selagem dos cronotacógrafos dos veículos pertencentes à frota sob sua responsabilidade.</w:t>
      </w:r>
    </w:p>
    <w:p w:rsidR="00594FD9" w:rsidRPr="00E35647" w:rsidRDefault="00594FD9" w:rsidP="003325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Times New Roman"/>
        </w:rPr>
      </w:pPr>
    </w:p>
    <w:p w:rsidR="00594FD9" w:rsidRPr="004904D0" w:rsidRDefault="00594FD9" w:rsidP="00725057">
      <w:pPr>
        <w:pStyle w:val="Ttulo1"/>
        <w:numPr>
          <w:ilvl w:val="0"/>
          <w:numId w:val="14"/>
        </w:numPr>
        <w:ind w:left="0" w:firstLine="0"/>
        <w:jc w:val="both"/>
      </w:pPr>
      <w:bookmarkStart w:id="4" w:name="_Toc353979911"/>
      <w:r w:rsidRPr="004904D0">
        <w:t>Vocabulário técnico, documentos e tipos de avaliação</w:t>
      </w:r>
      <w:bookmarkEnd w:id="4"/>
    </w:p>
    <w:p w:rsidR="00594FD9" w:rsidRPr="00E35647" w:rsidRDefault="00594FD9" w:rsidP="003325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Times New Roman"/>
        </w:rPr>
      </w:pPr>
    </w:p>
    <w:p w:rsidR="00594FD9" w:rsidRPr="00E35647" w:rsidRDefault="00594FD9" w:rsidP="007250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O termo técnico é uma representação conceitual particular, vinculada a um saber técnico, científico ou tecnológico.</w:t>
      </w:r>
    </w:p>
    <w:p w:rsidR="00594FD9" w:rsidRPr="00E35647" w:rsidRDefault="00594FD9" w:rsidP="0072505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 xml:space="preserve"> </w:t>
      </w:r>
      <w:r w:rsidRPr="00E35647">
        <w:rPr>
          <w:rFonts w:ascii="Verdana" w:hAnsi="Verdana" w:cs="Times New Roman"/>
        </w:rPr>
        <w:tab/>
        <w:t xml:space="preserve">No processo de avaliação de posto de ensaio há questões essencialmente técnicas que estão associadas  à atividade. Nesse sentido,  o avaliador deve conhecer  o vocabulário, documentos e tipos de avaliação, elementos relacionados à função que exerce. </w:t>
      </w:r>
    </w:p>
    <w:p w:rsidR="00594FD9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ab/>
      </w:r>
    </w:p>
    <w:p w:rsidR="00725057" w:rsidRPr="00E35647" w:rsidRDefault="00725057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594FD9" w:rsidRPr="00725057" w:rsidRDefault="00594FD9" w:rsidP="003325A6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Verdana" w:hAnsi="Verdana" w:cs="Times New Roman"/>
          <w:b/>
          <w:color w:val="548DD4" w:themeColor="text2" w:themeTint="99"/>
          <w:sz w:val="24"/>
          <w:szCs w:val="24"/>
        </w:rPr>
      </w:pPr>
      <w:r w:rsidRPr="00725057">
        <w:rPr>
          <w:rFonts w:ascii="Verdana" w:hAnsi="Verdana" w:cs="Times New Roman"/>
          <w:b/>
          <w:color w:val="548DD4" w:themeColor="text2" w:themeTint="99"/>
          <w:sz w:val="24"/>
          <w:szCs w:val="24"/>
        </w:rPr>
        <w:t>Termos técnicos: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725057" w:rsidRPr="00725057" w:rsidRDefault="00594FD9" w:rsidP="003325A6">
      <w:pPr>
        <w:pStyle w:val="PargrafodaLista"/>
        <w:numPr>
          <w:ilvl w:val="2"/>
          <w:numId w:val="11"/>
        </w:numPr>
        <w:autoSpaceDE w:val="0"/>
        <w:autoSpaceDN w:val="0"/>
        <w:adjustRightInd w:val="0"/>
        <w:spacing w:before="120" w:after="0" w:line="360" w:lineRule="auto"/>
        <w:ind w:left="0" w:firstLine="0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Requisitos:</w:t>
      </w:r>
      <w:r w:rsidRPr="00E35647">
        <w:rPr>
          <w:rFonts w:ascii="Verdana" w:hAnsi="Verdana" w:cs="Times New Roman"/>
          <w:b/>
        </w:rPr>
        <w:t xml:space="preserve"> </w:t>
      </w:r>
    </w:p>
    <w:p w:rsidR="00594FD9" w:rsidRDefault="00594FD9" w:rsidP="00725057">
      <w:pPr>
        <w:pStyle w:val="PargrafodaLista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Necessidade ou expectativa que é expressa, geralmente, de forma implícita ou obrigatória;</w:t>
      </w:r>
    </w:p>
    <w:p w:rsidR="003325A6" w:rsidRPr="00E35647" w:rsidRDefault="003325A6" w:rsidP="003325A6">
      <w:pPr>
        <w:pStyle w:val="PargrafodaLista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Verdana" w:hAnsi="Verdana" w:cs="Times New Roman"/>
        </w:rPr>
      </w:pPr>
    </w:p>
    <w:p w:rsidR="00594FD9" w:rsidRPr="00E35647" w:rsidRDefault="00594FD9" w:rsidP="003325A6">
      <w:pPr>
        <w:pStyle w:val="PargrafodaLista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Verdana" w:hAnsi="Verdana" w:cs="Times New Roman"/>
        </w:rPr>
      </w:pPr>
      <w:proofErr w:type="spellStart"/>
      <w:r w:rsidRPr="00E35647">
        <w:rPr>
          <w:rFonts w:ascii="Verdana" w:hAnsi="Verdana" w:cs="Times New Roman"/>
        </w:rPr>
        <w:t>Obs</w:t>
      </w:r>
      <w:proofErr w:type="spellEnd"/>
      <w:r w:rsidRPr="00E35647">
        <w:rPr>
          <w:rFonts w:ascii="Verdana" w:hAnsi="Verdana" w:cs="Times New Roman"/>
        </w:rPr>
        <w:t>: Para avaliação a candidatos a postos de ensaio, os requisitos são os estabelecidos no Edital Inmetro 01/2011.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725057" w:rsidRP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before="120" w:after="0" w:line="360" w:lineRule="auto"/>
        <w:ind w:left="0" w:firstLine="0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Equipe avaliadora:</w:t>
      </w:r>
      <w:r w:rsidRPr="00E35647">
        <w:rPr>
          <w:rFonts w:ascii="Verdana" w:hAnsi="Verdana" w:cs="Times New Roman"/>
          <w:b/>
        </w:rPr>
        <w:t xml:space="preserve"> </w:t>
      </w:r>
    </w:p>
    <w:p w:rsidR="00594FD9" w:rsidRPr="00E35647" w:rsidRDefault="00594FD9" w:rsidP="00725057">
      <w:pPr>
        <w:pStyle w:val="PargrafodaLista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Um ou mais avaliadores que realizam uma avaliação suportada, se necessário, por especialistas;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725057" w:rsidRP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Avaliador líder: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Avaliador que elabora o plano de avaliação e lidera a equipe durante a avaliação;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725057" w:rsidRP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  <w:b/>
          <w:color w:val="548DD4" w:themeColor="text2" w:themeTint="99"/>
        </w:rPr>
        <w:t>Evidência objetiva:</w:t>
      </w:r>
      <w:r w:rsidRPr="00E35647">
        <w:rPr>
          <w:rFonts w:ascii="Verdana" w:hAnsi="Verdana" w:cs="Times New Roman"/>
          <w:b/>
        </w:rPr>
        <w:t xml:space="preserve"> 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Dados que apoiam a existência ou a veracidade de alguma coisa;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Times New Roman"/>
          <w:b/>
        </w:rPr>
      </w:pPr>
    </w:p>
    <w:p w:rsidR="00725057" w:rsidRP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color w:val="548DD4" w:themeColor="text2" w:themeTint="99"/>
        </w:rPr>
      </w:pPr>
      <w:r w:rsidRPr="00725057">
        <w:rPr>
          <w:rFonts w:ascii="Verdana" w:hAnsi="Verdana" w:cs="Times New Roman"/>
          <w:b/>
          <w:color w:val="548DD4" w:themeColor="text2" w:themeTint="99"/>
        </w:rPr>
        <w:t>Conformidade: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Atendimento a um requisito;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725057" w:rsidRP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  <w:b/>
          <w:color w:val="548DD4" w:themeColor="text2" w:themeTint="99"/>
        </w:rPr>
        <w:t>Não conformidade:</w:t>
      </w:r>
      <w:r w:rsidRPr="00E35647">
        <w:rPr>
          <w:rFonts w:ascii="Verdana" w:hAnsi="Verdana" w:cs="Times New Roman"/>
          <w:b/>
        </w:rPr>
        <w:t xml:space="preserve"> 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Não atendimento a um requisito;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725057" w:rsidRP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  <w:b/>
          <w:color w:val="548DD4" w:themeColor="text2" w:themeTint="99"/>
        </w:rPr>
        <w:t>Correção:</w:t>
      </w:r>
      <w:r w:rsidRPr="00E35647">
        <w:rPr>
          <w:rFonts w:ascii="Verdana" w:hAnsi="Verdana" w:cs="Times New Roman"/>
          <w:b/>
        </w:rPr>
        <w:t xml:space="preserve"> 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Ação para eliminar uma não conformidade identificada;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  <w:b/>
          <w:color w:val="548DD4" w:themeColor="text2" w:themeTint="99"/>
        </w:rPr>
        <w:lastRenderedPageBreak/>
        <w:t>Ação corretiva: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Ação para eliminar a causa de uma não conformidade identificada ou outra situação indesejável;</w:t>
      </w:r>
    </w:p>
    <w:p w:rsidR="00725057" w:rsidRP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  <w:b/>
          <w:color w:val="548DD4" w:themeColor="text2" w:themeTint="99"/>
        </w:rPr>
        <w:t>Ação preventiva: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Ação para eliminar a causa de uma potencial não conformidade ou outra situação potencialmente indesejável;</w:t>
      </w:r>
    </w:p>
    <w:p w:rsidR="00594FD9" w:rsidRPr="00AE7524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  <w:color w:val="548DD4" w:themeColor="text2" w:themeTint="99"/>
        </w:rPr>
      </w:pPr>
    </w:p>
    <w:p w:rsidR="00594FD9" w:rsidRPr="00725057" w:rsidRDefault="00594FD9" w:rsidP="003325A6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color w:val="548DD4" w:themeColor="text2" w:themeTint="99"/>
          <w:sz w:val="24"/>
          <w:szCs w:val="24"/>
        </w:rPr>
      </w:pPr>
      <w:r w:rsidRPr="00725057">
        <w:rPr>
          <w:rFonts w:ascii="Verdana" w:hAnsi="Verdana" w:cs="Times New Roman"/>
          <w:b/>
          <w:color w:val="548DD4" w:themeColor="text2" w:themeTint="99"/>
          <w:sz w:val="24"/>
          <w:szCs w:val="24"/>
        </w:rPr>
        <w:t>Documentos utilizados: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725057" w:rsidRP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Plano de Avaliação: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Descrição das atividades e providências para uma avaliação (auditoria);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725057" w:rsidRP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Relatório de avaliação:</w:t>
      </w:r>
      <w:r w:rsidRPr="00E35647">
        <w:rPr>
          <w:rFonts w:ascii="Verdana" w:hAnsi="Verdana" w:cs="Times New Roman"/>
          <w:b/>
        </w:rPr>
        <w:t xml:space="preserve"> 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Documento utilizado pelo avaliador para relatar as conformidades, não conformidades e evidências objetivas durante o processo de avaliação;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Plano de ações:</w:t>
      </w:r>
      <w:r w:rsidRPr="00E35647">
        <w:rPr>
          <w:rFonts w:ascii="Verdana" w:hAnsi="Verdana" w:cs="Times New Roman"/>
        </w:rPr>
        <w:t xml:space="preserve"> 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Documento encaminhado pelo avaliado ao avaliador líder com a descrição das correções e ações corretivas para as não conformidades descritas no relatório de avaliação;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725057" w:rsidRP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Folha de acompanhamento de ações: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 xml:space="preserve">Documento preenchido pelo avaliador líder com base no plano de ações, descrevendo se as ações propostas pelo avaliado eliminam as não </w:t>
      </w:r>
      <w:proofErr w:type="spellStart"/>
      <w:r w:rsidRPr="00725057">
        <w:rPr>
          <w:rFonts w:ascii="Verdana" w:hAnsi="Verdana" w:cs="Times New Roman"/>
        </w:rPr>
        <w:t>comformidades</w:t>
      </w:r>
      <w:proofErr w:type="spellEnd"/>
      <w:r w:rsidRPr="00725057">
        <w:rPr>
          <w:rFonts w:ascii="Verdana" w:hAnsi="Verdana" w:cs="Times New Roman"/>
        </w:rPr>
        <w:t>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725057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Recomendação de credenciamento:</w:t>
      </w:r>
    </w:p>
    <w:p w:rsidR="00594FD9" w:rsidRPr="00725057" w:rsidRDefault="00594FD9" w:rsidP="0072505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725057">
        <w:rPr>
          <w:rFonts w:ascii="Verdana" w:hAnsi="Verdana" w:cs="Times New Roman"/>
        </w:rPr>
        <w:t>Documento utilizado pelo avaliador para recomendar ou o credenciamento do avaliado, com base nos atendimentos aos requisitos;</w:t>
      </w:r>
    </w:p>
    <w:p w:rsidR="00594FD9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725057" w:rsidRPr="00E35647" w:rsidRDefault="00725057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594FD9" w:rsidRPr="00725057" w:rsidRDefault="00594FD9" w:rsidP="003325A6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color w:val="548DD4" w:themeColor="text2" w:themeTint="99"/>
          <w:sz w:val="24"/>
          <w:szCs w:val="24"/>
        </w:rPr>
      </w:pPr>
      <w:r w:rsidRPr="00725057">
        <w:rPr>
          <w:rFonts w:ascii="Verdana" w:hAnsi="Verdana" w:cs="Times New Roman"/>
          <w:b/>
          <w:color w:val="548DD4" w:themeColor="text2" w:themeTint="99"/>
          <w:sz w:val="24"/>
          <w:szCs w:val="24"/>
        </w:rPr>
        <w:lastRenderedPageBreak/>
        <w:t xml:space="preserve">Tipos de avaliação: 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D07BAF" w:rsidRPr="00D07BAF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Avaliação inicial:</w:t>
      </w:r>
      <w:r w:rsidRPr="00E35647">
        <w:rPr>
          <w:rFonts w:ascii="Verdana" w:hAnsi="Verdana" w:cs="Times New Roman"/>
          <w:b/>
        </w:rPr>
        <w:t xml:space="preserve"> </w:t>
      </w:r>
    </w:p>
    <w:p w:rsidR="00594FD9" w:rsidRPr="00D07BAF" w:rsidRDefault="00594FD9" w:rsidP="00D07BA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D07BAF">
        <w:rPr>
          <w:rFonts w:ascii="Verdana" w:hAnsi="Verdana" w:cs="Times New Roman"/>
        </w:rPr>
        <w:t>Primeira avaliação realizada nas instalações do avaliado;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D07BAF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Avaliação de manutenção</w:t>
      </w:r>
      <w:r w:rsidRPr="00D07BAF">
        <w:rPr>
          <w:rFonts w:ascii="Verdana" w:hAnsi="Verdana" w:cs="Times New Roman"/>
          <w:b/>
          <w:color w:val="548DD4" w:themeColor="text2" w:themeTint="99"/>
        </w:rPr>
        <w:t>:</w:t>
      </w:r>
    </w:p>
    <w:p w:rsidR="00594FD9" w:rsidRPr="00D07BAF" w:rsidRDefault="00594FD9" w:rsidP="00D07BA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D07BAF">
        <w:rPr>
          <w:rFonts w:ascii="Verdana" w:hAnsi="Verdana" w:cs="Times New Roman"/>
        </w:rPr>
        <w:t>Avaliação realizada periodicamente de forma a constatar o contínuo atendimento aos requisitos;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D07BAF" w:rsidRPr="00D07BAF" w:rsidRDefault="00594FD9" w:rsidP="003325A6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AE7524">
        <w:rPr>
          <w:rFonts w:ascii="Verdana" w:hAnsi="Verdana" w:cs="Times New Roman"/>
          <w:b/>
          <w:color w:val="548DD4" w:themeColor="text2" w:themeTint="99"/>
        </w:rPr>
        <w:t>Avaliação extraordinária:</w:t>
      </w:r>
    </w:p>
    <w:p w:rsidR="00594FD9" w:rsidRPr="00D07BAF" w:rsidRDefault="00594FD9" w:rsidP="00D07BA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D07BAF">
        <w:rPr>
          <w:rFonts w:ascii="Verdana" w:hAnsi="Verdana" w:cs="Times New Roman"/>
        </w:rPr>
        <w:t>Avaliação com o objetivo de tratar reclamações/denúncias ou confirmar a implantação de ações acordadas.</w:t>
      </w:r>
    </w:p>
    <w:p w:rsidR="00594FD9" w:rsidRPr="00E35647" w:rsidRDefault="00594FD9" w:rsidP="003325A6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594FD9" w:rsidRDefault="00594FD9" w:rsidP="004904D0">
      <w:pPr>
        <w:pStyle w:val="Ttulo1"/>
        <w:numPr>
          <w:ilvl w:val="0"/>
          <w:numId w:val="14"/>
        </w:numPr>
        <w:ind w:left="0" w:firstLine="0"/>
        <w:jc w:val="both"/>
      </w:pPr>
      <w:bookmarkStart w:id="5" w:name="_Toc353979912"/>
      <w:r w:rsidRPr="004904D0">
        <w:t>Legislação de referência</w:t>
      </w:r>
      <w:bookmarkEnd w:id="5"/>
    </w:p>
    <w:p w:rsidR="00D07BAF" w:rsidRPr="00D07BAF" w:rsidRDefault="00D07BAF" w:rsidP="00D07BAF"/>
    <w:p w:rsidR="00594FD9" w:rsidRPr="00E35647" w:rsidRDefault="00594FD9" w:rsidP="003325A6">
      <w:pPr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 xml:space="preserve"> Os seguintes documentos são referência e devem estar em posse do avaliador durante o processo de avaliação de um candidato a posto de ensaio:</w:t>
      </w:r>
    </w:p>
    <w:p w:rsidR="00594FD9" w:rsidRPr="00E35647" w:rsidRDefault="00594FD9" w:rsidP="003D577A">
      <w:pPr>
        <w:pStyle w:val="PargrafodaLista"/>
        <w:numPr>
          <w:ilvl w:val="0"/>
          <w:numId w:val="13"/>
        </w:numPr>
        <w:spacing w:line="360" w:lineRule="auto"/>
        <w:ind w:left="1134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Edital Inmetro 01 de 06 de outubro de 2011;</w:t>
      </w:r>
    </w:p>
    <w:p w:rsidR="00594FD9" w:rsidRPr="00E35647" w:rsidRDefault="00594FD9" w:rsidP="003D577A">
      <w:pPr>
        <w:pStyle w:val="PargrafodaLista"/>
        <w:numPr>
          <w:ilvl w:val="0"/>
          <w:numId w:val="13"/>
        </w:numPr>
        <w:spacing w:line="360" w:lineRule="auto"/>
        <w:ind w:left="1134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Norma Inmetro Específica 100;</w:t>
      </w:r>
    </w:p>
    <w:p w:rsidR="00594FD9" w:rsidRPr="00E35647" w:rsidRDefault="00594FD9" w:rsidP="003D577A">
      <w:pPr>
        <w:pStyle w:val="PargrafodaLista"/>
        <w:numPr>
          <w:ilvl w:val="0"/>
          <w:numId w:val="13"/>
        </w:numPr>
        <w:spacing w:line="360" w:lineRule="auto"/>
        <w:ind w:left="1134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Portaria Inmetro 201 de 02 de dezembro de 2004;</w:t>
      </w:r>
    </w:p>
    <w:p w:rsidR="00594FD9" w:rsidRPr="00E35647" w:rsidRDefault="00594FD9" w:rsidP="003D577A">
      <w:pPr>
        <w:pStyle w:val="PargrafodaLista"/>
        <w:numPr>
          <w:ilvl w:val="0"/>
          <w:numId w:val="13"/>
        </w:numPr>
        <w:spacing w:line="360" w:lineRule="auto"/>
        <w:ind w:left="1134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Portaria Inmetro 01 de 02 de janeiro de 2013;</w:t>
      </w:r>
    </w:p>
    <w:p w:rsidR="00594FD9" w:rsidRPr="00E35647" w:rsidRDefault="00594FD9" w:rsidP="003D577A">
      <w:pPr>
        <w:pStyle w:val="PargrafodaLista"/>
        <w:numPr>
          <w:ilvl w:val="0"/>
          <w:numId w:val="13"/>
        </w:numPr>
        <w:spacing w:line="360" w:lineRule="auto"/>
        <w:ind w:left="1134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Portaria Inmetro 165 de 05 de abril de 2012;</w:t>
      </w:r>
    </w:p>
    <w:p w:rsidR="00594FD9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E35647" w:rsidRDefault="00E35647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E35647" w:rsidRDefault="00E35647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E35647" w:rsidRDefault="00E35647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E35647" w:rsidRDefault="00E35647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</w:p>
    <w:p w:rsidR="00594FD9" w:rsidRPr="004904D0" w:rsidRDefault="00594FD9" w:rsidP="004904D0">
      <w:pPr>
        <w:pStyle w:val="Ttulo1"/>
        <w:numPr>
          <w:ilvl w:val="0"/>
          <w:numId w:val="14"/>
        </w:numPr>
        <w:ind w:left="0" w:firstLine="0"/>
        <w:jc w:val="both"/>
      </w:pPr>
      <w:bookmarkStart w:id="6" w:name="_Toc353979913"/>
      <w:r w:rsidRPr="004904D0">
        <w:lastRenderedPageBreak/>
        <w:t>R</w:t>
      </w:r>
      <w:r w:rsidR="00AE7524" w:rsidRPr="004904D0">
        <w:t>EFERÊNCIAS</w:t>
      </w:r>
      <w:r w:rsidRPr="004904D0">
        <w:t>:</w:t>
      </w:r>
      <w:bookmarkEnd w:id="6"/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</w:rPr>
      </w:pP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 xml:space="preserve">[1] Adilson Abreu Dallari, Revista Eletrônica de Direito do Estado. Número 5 Janeiro/fevereiro/março  </w:t>
      </w:r>
      <w:proofErr w:type="gramStart"/>
      <w:r w:rsidRPr="00E35647">
        <w:rPr>
          <w:rFonts w:ascii="Verdana" w:hAnsi="Verdana" w:cs="Times New Roman"/>
        </w:rPr>
        <w:t>2006 – Salvador – Bahia</w:t>
      </w:r>
      <w:proofErr w:type="gramEnd"/>
      <w:r w:rsidRPr="00E35647">
        <w:rPr>
          <w:rFonts w:ascii="Verdana" w:hAnsi="Verdana" w:cs="Times New Roman"/>
        </w:rPr>
        <w:t>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[2] &lt;</w:t>
      </w:r>
      <w:hyperlink r:id="rId15" w:history="1">
        <w:r w:rsidRPr="00E35647">
          <w:rPr>
            <w:rFonts w:ascii="Verdana" w:hAnsi="Verdana" w:cs="Times New Roman"/>
          </w:rPr>
          <w:t>www.inmetro.rs.gov.br/cronotacografo</w:t>
        </w:r>
      </w:hyperlink>
      <w:r w:rsidRPr="00E35647">
        <w:rPr>
          <w:rFonts w:ascii="Verdana" w:hAnsi="Verdana" w:cs="Times New Roman"/>
        </w:rPr>
        <w:t>&gt;, acessado em 21 de fevereiro de 2012;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[3] Antonio Vargas, Apostila do curso de avaliadores de postos de ensaio de cronotacógrafos, 2011;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[4] ABNT NBR ISO 9000:2005 – Sistema de gestão da qualidade – Fundamentos e vocabulário;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[5] ABNT NBR ISO 19011 – Diretrizes para auditoria de sistemas de gestão;</w:t>
      </w:r>
    </w:p>
    <w:p w:rsidR="00594FD9" w:rsidRPr="00E35647" w:rsidRDefault="00594FD9" w:rsidP="003325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[6] ABNT NBR ISO/IEC 17000 – Avaliação de conformidade – Vocabulário e princípios gerais;</w:t>
      </w:r>
    </w:p>
    <w:p w:rsidR="00130152" w:rsidRPr="00E25342" w:rsidRDefault="00594FD9" w:rsidP="00E2534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</w:rPr>
      </w:pPr>
      <w:r w:rsidRPr="00E35647">
        <w:rPr>
          <w:rFonts w:ascii="Verdana" w:hAnsi="Verdana" w:cs="Times New Roman"/>
        </w:rPr>
        <w:t>[7] Edital Inmetro 01/2011 – Processo seletivo público para cadastramento de oficinas, postos de selagem e credenciamento de post</w:t>
      </w:r>
      <w:r w:rsidR="00E25342">
        <w:rPr>
          <w:rFonts w:ascii="Verdana" w:hAnsi="Verdana" w:cs="Times New Roman"/>
        </w:rPr>
        <w:t>os de ensaio em cronotacógrafos.</w:t>
      </w:r>
    </w:p>
    <w:sectPr w:rsidR="00130152" w:rsidRPr="00E25342" w:rsidSect="00F7730C">
      <w:footerReference w:type="default" r:id="rId16"/>
      <w:foot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328" w:rsidRDefault="00AF2328" w:rsidP="00205A7B">
      <w:pPr>
        <w:spacing w:after="0" w:line="240" w:lineRule="auto"/>
      </w:pPr>
      <w:r>
        <w:separator/>
      </w:r>
    </w:p>
  </w:endnote>
  <w:endnote w:type="continuationSeparator" w:id="0">
    <w:p w:rsidR="00AF2328" w:rsidRDefault="00AF2328" w:rsidP="0020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14046"/>
      <w:docPartObj>
        <w:docPartGallery w:val="Page Numbers (Bottom of Page)"/>
        <w:docPartUnique/>
      </w:docPartObj>
    </w:sdtPr>
    <w:sdtContent>
      <w:p w:rsidR="00AF2328" w:rsidRDefault="0071261C">
        <w:pPr>
          <w:pStyle w:val="Rodap"/>
          <w:jc w:val="right"/>
        </w:pPr>
      </w:p>
    </w:sdtContent>
  </w:sdt>
  <w:p w:rsidR="00AF2328" w:rsidRDefault="00AF232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14047"/>
      <w:docPartObj>
        <w:docPartGallery w:val="Page Numbers (Bottom of Page)"/>
        <w:docPartUnique/>
      </w:docPartObj>
    </w:sdtPr>
    <w:sdtContent>
      <w:p w:rsidR="00AF2328" w:rsidRDefault="0071261C">
        <w:pPr>
          <w:pStyle w:val="Rodap"/>
          <w:jc w:val="right"/>
        </w:pPr>
        <w:fldSimple w:instr=" PAGE   \* MERGEFORMAT ">
          <w:r w:rsidR="00E6375C">
            <w:rPr>
              <w:noProof/>
            </w:rPr>
            <w:t>14</w:t>
          </w:r>
        </w:fldSimple>
      </w:p>
    </w:sdtContent>
  </w:sdt>
  <w:p w:rsidR="00AF2328" w:rsidRDefault="00AF232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14045"/>
      <w:docPartObj>
        <w:docPartGallery w:val="Page Numbers (Bottom of Page)"/>
        <w:docPartUnique/>
      </w:docPartObj>
    </w:sdtPr>
    <w:sdtContent>
      <w:p w:rsidR="00AF2328" w:rsidRDefault="0071261C">
        <w:pPr>
          <w:pStyle w:val="Rodap"/>
          <w:jc w:val="right"/>
        </w:pPr>
        <w:fldSimple w:instr=" PAGE   \* MERGEFORMAT ">
          <w:r w:rsidR="00E6375C">
            <w:rPr>
              <w:noProof/>
            </w:rPr>
            <w:t>6</w:t>
          </w:r>
        </w:fldSimple>
      </w:p>
    </w:sdtContent>
  </w:sdt>
  <w:p w:rsidR="00AF2328" w:rsidRDefault="00AF23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328" w:rsidRDefault="00AF2328" w:rsidP="00205A7B">
      <w:pPr>
        <w:spacing w:after="0" w:line="240" w:lineRule="auto"/>
      </w:pPr>
      <w:r>
        <w:separator/>
      </w:r>
    </w:p>
  </w:footnote>
  <w:footnote w:type="continuationSeparator" w:id="0">
    <w:p w:rsidR="00AF2328" w:rsidRDefault="00AF2328" w:rsidP="0020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328" w:rsidRDefault="00AF2328">
    <w:pPr>
      <w:pStyle w:val="Cabealho"/>
      <w:ind w:right="-864"/>
      <w:jc w:val="right"/>
    </w:pPr>
  </w:p>
  <w:p w:rsidR="00AF2328" w:rsidRDefault="00AF23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988"/>
    <w:multiLevelType w:val="multilevel"/>
    <w:tmpl w:val="98D00F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40" w:hanging="360"/>
      </w:pPr>
      <w:rPr>
        <w:rFonts w:hint="default"/>
        <w:b/>
        <w:color w:val="548DD4" w:themeColor="text2" w:themeTint="99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  <w:b/>
      </w:rPr>
    </w:lvl>
  </w:abstractNum>
  <w:abstractNum w:abstractNumId="1">
    <w:nsid w:val="16127885"/>
    <w:multiLevelType w:val="multilevel"/>
    <w:tmpl w:val="0522334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color w:val="548DD4" w:themeColor="text2" w:themeTint="99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548DD4" w:themeColor="text2" w:themeTint="9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C17EA2"/>
    <w:multiLevelType w:val="hybridMultilevel"/>
    <w:tmpl w:val="D63EC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61DEF"/>
    <w:multiLevelType w:val="multilevel"/>
    <w:tmpl w:val="360270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CB0325"/>
    <w:multiLevelType w:val="hybridMultilevel"/>
    <w:tmpl w:val="A9EAEE0C"/>
    <w:lvl w:ilvl="0" w:tplc="7BFE33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363CF"/>
    <w:multiLevelType w:val="hybridMultilevel"/>
    <w:tmpl w:val="45BE1666"/>
    <w:lvl w:ilvl="0" w:tplc="6CBAA1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4966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C4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0C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26F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4C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6F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6BF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8C3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164CAF"/>
    <w:multiLevelType w:val="hybridMultilevel"/>
    <w:tmpl w:val="2450615A"/>
    <w:lvl w:ilvl="0" w:tplc="6CBAA1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9ED4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C4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0C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26F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4C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6F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6BF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8C3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1F1588"/>
    <w:multiLevelType w:val="multilevel"/>
    <w:tmpl w:val="26BEC9C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548DD4" w:themeColor="text2" w:themeTint="9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E517612"/>
    <w:multiLevelType w:val="hybridMultilevel"/>
    <w:tmpl w:val="B26EA0E0"/>
    <w:lvl w:ilvl="0" w:tplc="42C055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A33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022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0CE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A08A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A84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6C4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5835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B01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6B7FA1"/>
    <w:multiLevelType w:val="multilevel"/>
    <w:tmpl w:val="A8DEEE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  <w:b/>
        <w:color w:val="548DD4" w:themeColor="text2" w:themeTint="99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  <w:b/>
      </w:rPr>
    </w:lvl>
  </w:abstractNum>
  <w:abstractNum w:abstractNumId="10">
    <w:nsid w:val="70925F89"/>
    <w:multiLevelType w:val="hybridMultilevel"/>
    <w:tmpl w:val="B7000E44"/>
    <w:lvl w:ilvl="0" w:tplc="DE9ED4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37127"/>
    <w:multiLevelType w:val="multilevel"/>
    <w:tmpl w:val="731EB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00" w:hanging="360"/>
      </w:pPr>
      <w:rPr>
        <w:rFonts w:hint="default"/>
        <w:b/>
        <w:color w:val="548DD4" w:themeColor="text2" w:themeTint="99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  <w:b/>
      </w:rPr>
    </w:lvl>
  </w:abstractNum>
  <w:abstractNum w:abstractNumId="12">
    <w:nsid w:val="742B6A23"/>
    <w:multiLevelType w:val="multilevel"/>
    <w:tmpl w:val="D98ECA7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3">
    <w:nsid w:val="755E5B9B"/>
    <w:multiLevelType w:val="hybridMultilevel"/>
    <w:tmpl w:val="22A8D3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D3634"/>
    <w:multiLevelType w:val="hybridMultilevel"/>
    <w:tmpl w:val="6E681A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11"/>
  </w:num>
  <w:num w:numId="10">
    <w:abstractNumId w:val="3"/>
  </w:num>
  <w:num w:numId="11">
    <w:abstractNumId w:val="7"/>
  </w:num>
  <w:num w:numId="12">
    <w:abstractNumId w:val="1"/>
  </w:num>
  <w:num w:numId="13">
    <w:abstractNumId w:val="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3902D8"/>
    <w:rsid w:val="00006E55"/>
    <w:rsid w:val="00040060"/>
    <w:rsid w:val="00046DEF"/>
    <w:rsid w:val="0007003E"/>
    <w:rsid w:val="00082EA1"/>
    <w:rsid w:val="00086EF0"/>
    <w:rsid w:val="000A1799"/>
    <w:rsid w:val="000B3A14"/>
    <w:rsid w:val="000C2F44"/>
    <w:rsid w:val="00130152"/>
    <w:rsid w:val="00144489"/>
    <w:rsid w:val="00145976"/>
    <w:rsid w:val="00174199"/>
    <w:rsid w:val="00191F65"/>
    <w:rsid w:val="001B08B5"/>
    <w:rsid w:val="001D6A48"/>
    <w:rsid w:val="001F6F93"/>
    <w:rsid w:val="001F7933"/>
    <w:rsid w:val="00200199"/>
    <w:rsid w:val="00205A7B"/>
    <w:rsid w:val="002126C9"/>
    <w:rsid w:val="00220B45"/>
    <w:rsid w:val="002225FC"/>
    <w:rsid w:val="003325A6"/>
    <w:rsid w:val="00333386"/>
    <w:rsid w:val="003902D8"/>
    <w:rsid w:val="003A405D"/>
    <w:rsid w:val="003D2EAF"/>
    <w:rsid w:val="003D577A"/>
    <w:rsid w:val="00446900"/>
    <w:rsid w:val="00456235"/>
    <w:rsid w:val="00472B69"/>
    <w:rsid w:val="00480376"/>
    <w:rsid w:val="004904D0"/>
    <w:rsid w:val="00506F45"/>
    <w:rsid w:val="00514BB3"/>
    <w:rsid w:val="005927AC"/>
    <w:rsid w:val="00594FD9"/>
    <w:rsid w:val="00595894"/>
    <w:rsid w:val="005B026D"/>
    <w:rsid w:val="005B5F42"/>
    <w:rsid w:val="005D5943"/>
    <w:rsid w:val="006C3F1A"/>
    <w:rsid w:val="006D4E05"/>
    <w:rsid w:val="0071261C"/>
    <w:rsid w:val="00725057"/>
    <w:rsid w:val="00730FD1"/>
    <w:rsid w:val="0073569B"/>
    <w:rsid w:val="00751AE2"/>
    <w:rsid w:val="00756B41"/>
    <w:rsid w:val="00793A8F"/>
    <w:rsid w:val="007A2B38"/>
    <w:rsid w:val="007C7E30"/>
    <w:rsid w:val="007E3362"/>
    <w:rsid w:val="00840CC2"/>
    <w:rsid w:val="00840FCF"/>
    <w:rsid w:val="00865048"/>
    <w:rsid w:val="008E0D75"/>
    <w:rsid w:val="00970B75"/>
    <w:rsid w:val="0099089A"/>
    <w:rsid w:val="009E3FF3"/>
    <w:rsid w:val="00A560A3"/>
    <w:rsid w:val="00A7139C"/>
    <w:rsid w:val="00A8749A"/>
    <w:rsid w:val="00AB1CD5"/>
    <w:rsid w:val="00AD2906"/>
    <w:rsid w:val="00AE670C"/>
    <w:rsid w:val="00AE7524"/>
    <w:rsid w:val="00AF22E5"/>
    <w:rsid w:val="00AF2328"/>
    <w:rsid w:val="00B2141F"/>
    <w:rsid w:val="00B65B29"/>
    <w:rsid w:val="00B70F15"/>
    <w:rsid w:val="00B808A2"/>
    <w:rsid w:val="00BA19B1"/>
    <w:rsid w:val="00C778A3"/>
    <w:rsid w:val="00CC078E"/>
    <w:rsid w:val="00CC0A1A"/>
    <w:rsid w:val="00CC0BDA"/>
    <w:rsid w:val="00CD2602"/>
    <w:rsid w:val="00CE5F84"/>
    <w:rsid w:val="00D07BAF"/>
    <w:rsid w:val="00D3511C"/>
    <w:rsid w:val="00D409B9"/>
    <w:rsid w:val="00D94480"/>
    <w:rsid w:val="00DC0B30"/>
    <w:rsid w:val="00DE7B33"/>
    <w:rsid w:val="00E25342"/>
    <w:rsid w:val="00E35647"/>
    <w:rsid w:val="00E6375C"/>
    <w:rsid w:val="00E67851"/>
    <w:rsid w:val="00E96D26"/>
    <w:rsid w:val="00EA2B88"/>
    <w:rsid w:val="00EA579D"/>
    <w:rsid w:val="00EA587E"/>
    <w:rsid w:val="00EB786D"/>
    <w:rsid w:val="00EF5A65"/>
    <w:rsid w:val="00F50AD9"/>
    <w:rsid w:val="00F517B7"/>
    <w:rsid w:val="00F7730C"/>
    <w:rsid w:val="00F83684"/>
    <w:rsid w:val="00FE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8E"/>
  </w:style>
  <w:style w:type="paragraph" w:styleId="Ttulo1">
    <w:name w:val="heading 1"/>
    <w:basedOn w:val="Normal"/>
    <w:next w:val="Normal"/>
    <w:link w:val="Ttulo1Char"/>
    <w:uiPriority w:val="9"/>
    <w:qFormat/>
    <w:rsid w:val="0044690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548DD4" w:themeColor="text2" w:themeTint="99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0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0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5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A7B"/>
  </w:style>
  <w:style w:type="paragraph" w:styleId="Rodap">
    <w:name w:val="footer"/>
    <w:basedOn w:val="Normal"/>
    <w:link w:val="RodapChar"/>
    <w:uiPriority w:val="99"/>
    <w:unhideWhenUsed/>
    <w:rsid w:val="00205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A7B"/>
  </w:style>
  <w:style w:type="character" w:styleId="Hyperlink">
    <w:name w:val="Hyperlink"/>
    <w:basedOn w:val="Fontepargpadro"/>
    <w:uiPriority w:val="99"/>
    <w:unhideWhenUsed/>
    <w:rsid w:val="0045623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46900"/>
    <w:rPr>
      <w:rFonts w:ascii="Verdana" w:eastAsiaTheme="majorEastAsia" w:hAnsi="Verdana" w:cstheme="majorBidi"/>
      <w:b/>
      <w:bCs/>
      <w:color w:val="548DD4" w:themeColor="text2" w:themeTint="99"/>
      <w:sz w:val="32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44489"/>
    <w:pPr>
      <w:outlineLvl w:val="9"/>
    </w:pPr>
  </w:style>
  <w:style w:type="paragraph" w:styleId="PargrafodaLista">
    <w:name w:val="List Paragraph"/>
    <w:basedOn w:val="Normal"/>
    <w:uiPriority w:val="34"/>
    <w:qFormat/>
    <w:rsid w:val="00144489"/>
    <w:pPr>
      <w:ind w:left="720"/>
      <w:contextualSpacing/>
    </w:pPr>
  </w:style>
  <w:style w:type="paragraph" w:customStyle="1" w:styleId="Estilo1">
    <w:name w:val="Estilo1"/>
    <w:basedOn w:val="Normal"/>
    <w:link w:val="Estilo1Char"/>
    <w:qFormat/>
    <w:rsid w:val="00CC0BDA"/>
    <w:rPr>
      <w:rFonts w:ascii="Verdana" w:hAnsi="Verdana"/>
      <w:b/>
      <w:i/>
      <w:color w:val="548DD4" w:themeColor="text2" w:themeTint="99"/>
      <w:sz w:val="32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0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stilo1Char">
    <w:name w:val="Estilo1 Char"/>
    <w:basedOn w:val="Fontepargpadro"/>
    <w:link w:val="Estilo1"/>
    <w:rsid w:val="00CC0BDA"/>
    <w:rPr>
      <w:rFonts w:ascii="Verdana" w:hAnsi="Verdana"/>
      <w:b/>
      <w:i/>
      <w:color w:val="548DD4" w:themeColor="text2" w:themeTint="99"/>
      <w:sz w:val="32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0B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stilo2">
    <w:name w:val="Estilo2"/>
    <w:basedOn w:val="Estilo1"/>
    <w:link w:val="Estilo2Char"/>
    <w:qFormat/>
    <w:rsid w:val="00220B45"/>
  </w:style>
  <w:style w:type="paragraph" w:styleId="Sumrio1">
    <w:name w:val="toc 1"/>
    <w:aliases w:val="Titulo"/>
    <w:basedOn w:val="Normal"/>
    <w:next w:val="Normal"/>
    <w:autoRedefine/>
    <w:uiPriority w:val="39"/>
    <w:unhideWhenUsed/>
    <w:rsid w:val="00CC0BDA"/>
    <w:pPr>
      <w:spacing w:after="100"/>
    </w:pPr>
  </w:style>
  <w:style w:type="character" w:customStyle="1" w:styleId="Estilo2Char">
    <w:name w:val="Estilo2 Char"/>
    <w:basedOn w:val="Estilo1Char"/>
    <w:link w:val="Estilo2"/>
    <w:rsid w:val="00220B45"/>
  </w:style>
  <w:style w:type="paragraph" w:styleId="NormalWeb">
    <w:name w:val="Normal (Web)"/>
    <w:basedOn w:val="Normal"/>
    <w:uiPriority w:val="99"/>
    <w:unhideWhenUsed/>
    <w:rsid w:val="0019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F65"/>
    <w:rPr>
      <w:b/>
      <w:bCs/>
    </w:rPr>
  </w:style>
  <w:style w:type="table" w:styleId="Tabelacomgrade">
    <w:name w:val="Table Grid"/>
    <w:basedOn w:val="Tabelanormal"/>
    <w:uiPriority w:val="59"/>
    <w:rsid w:val="00AF2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3">
    <w:name w:val="toc 3"/>
    <w:basedOn w:val="Normal"/>
    <w:next w:val="Normal"/>
    <w:autoRedefine/>
    <w:uiPriority w:val="39"/>
    <w:unhideWhenUsed/>
    <w:rsid w:val="00AE7524"/>
    <w:pPr>
      <w:spacing w:after="100"/>
      <w:ind w:left="440"/>
    </w:pPr>
  </w:style>
  <w:style w:type="paragraph" w:styleId="Reviso">
    <w:name w:val="Revision"/>
    <w:hidden/>
    <w:uiPriority w:val="99"/>
    <w:semiHidden/>
    <w:rsid w:val="004904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cma@inmetro.gov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metro.rs.gov.br/cronotacografo" TargetMode="External"/><Relationship Id="rId10" Type="http://schemas.openxmlformats.org/officeDocument/2006/relationships/hyperlink" Target="http://pt-br.facebook.com/public/Renata-Gerard-Bondi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planalto.gov.br/ccivil_03/LEIS/L993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38040-2C73-43DD-AD40-3231BFEE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14</Pages>
  <Words>1667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de Avaliador de Posto de Ensaio de Cronotacógrafo </vt:lpstr>
    </vt:vector>
  </TitlesOfParts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de Avaliador de Posto de Ensaio de Cronotacógrafo </dc:title>
  <dc:subject>Bruno Amado Rodrigues Filho</dc:subject>
  <dc:creator>Divisão de Supervisão Metrológica - DIMEL </dc:creator>
  <cp:keywords/>
  <dc:description/>
  <cp:lastModifiedBy>Aline</cp:lastModifiedBy>
  <cp:revision>27</cp:revision>
  <cp:lastPrinted>2013-04-17T19:39:00Z</cp:lastPrinted>
  <dcterms:created xsi:type="dcterms:W3CDTF">2011-08-22T13:28:00Z</dcterms:created>
  <dcterms:modified xsi:type="dcterms:W3CDTF">2013-04-19T19:23:00Z</dcterms:modified>
</cp:coreProperties>
</file>