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B7B5C61" w14:textId="134FF6FA" w:rsidR="002E3DB7" w:rsidRDefault="00F00D1A" w:rsidP="00424156">
      <w:pPr>
        <w:pStyle w:val="CAPTULO"/>
        <w:numPr>
          <w:ilvl w:val="0"/>
          <w:numId w:val="0"/>
        </w:numPr>
        <w:ind w:left="360"/>
        <w:rPr>
          <w:rFonts w:asciiTheme="majorHAnsi" w:hAnsiTheme="majorHAnsi"/>
          <w:sz w:val="22"/>
        </w:rPr>
      </w:pPr>
      <w:bookmarkStart w:id="0" w:name="_Toc475089819"/>
      <w:bookmarkStart w:id="1" w:name="_Toc475089944"/>
      <w:bookmarkStart w:id="2" w:name="_Toc475090186"/>
      <w:bookmarkStart w:id="3" w:name="_Ref475694179"/>
      <w:bookmarkStart w:id="4" w:name="_Toc478923261"/>
      <w:bookmarkStart w:id="5" w:name="_Toc478923592"/>
      <w:bookmarkStart w:id="6" w:name="_Toc478923953"/>
      <w:bookmarkStart w:id="7" w:name="_Toc478924063"/>
      <w:bookmarkStart w:id="8" w:name="_Toc478924185"/>
      <w:bookmarkStart w:id="9" w:name="_Toc478924990"/>
      <w:bookmarkStart w:id="10" w:name="_Toc478926196"/>
      <w:bookmarkStart w:id="11" w:name="_Toc478926322"/>
      <w:bookmarkStart w:id="12" w:name="_Toc479013861"/>
      <w:r w:rsidRPr="00F00D1A">
        <w:rPr>
          <w:rFonts w:asciiTheme="majorHAnsi" w:hAnsiTheme="majorHAnsi"/>
          <w:noProof/>
          <w:sz w:val="22"/>
          <w:lang w:eastAsia="pt-BR"/>
        </w:rPr>
        <w:drawing>
          <wp:anchor distT="0" distB="0" distL="114300" distR="114300" simplePos="0" relativeHeight="251669504" behindDoc="1" locked="0" layoutInCell="1" allowOverlap="1" wp14:anchorId="46F1A459" wp14:editId="73B59DE0">
            <wp:simplePos x="0" y="0"/>
            <wp:positionH relativeFrom="page">
              <wp:align>left</wp:align>
            </wp:positionH>
            <wp:positionV relativeFrom="paragraph">
              <wp:posOffset>-720090</wp:posOffset>
            </wp:positionV>
            <wp:extent cx="7523390" cy="10637520"/>
            <wp:effectExtent l="0" t="0" r="1905" b="0"/>
            <wp:wrapNone/>
            <wp:docPr id="2" name="Imagem 2" descr="D:\2 - Projeto Entib\Capas novas Entib\60601\CAPA_apostila_60601_A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 - Projeto Entib\Capas novas Entib\60601\CAPA_apostila_60601_A03.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29022" cy="106454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93CBEF" w14:textId="77777777" w:rsidR="002E3DB7" w:rsidRDefault="002E3DB7" w:rsidP="00424156">
      <w:pPr>
        <w:pStyle w:val="CAPTULO"/>
        <w:numPr>
          <w:ilvl w:val="0"/>
          <w:numId w:val="0"/>
        </w:numPr>
        <w:ind w:left="360"/>
        <w:rPr>
          <w:rFonts w:asciiTheme="majorHAnsi" w:hAnsiTheme="majorHAnsi"/>
          <w:sz w:val="22"/>
        </w:rPr>
      </w:pPr>
    </w:p>
    <w:p w14:paraId="465A618F" w14:textId="77777777" w:rsidR="002E3DB7" w:rsidRDefault="002E3DB7">
      <w:pPr>
        <w:rPr>
          <w:rFonts w:asciiTheme="majorHAnsi" w:hAnsiTheme="majorHAnsi" w:cs="Arial"/>
          <w:b/>
        </w:rPr>
      </w:pPr>
      <w:r>
        <w:rPr>
          <w:rFonts w:asciiTheme="majorHAnsi" w:hAnsiTheme="majorHAnsi"/>
        </w:rPr>
        <w:br w:type="page"/>
      </w:r>
    </w:p>
    <w:p w14:paraId="1F26A736" w14:textId="77777777" w:rsidR="002E3DB7" w:rsidRDefault="002E3DB7" w:rsidP="00424156">
      <w:pPr>
        <w:pStyle w:val="CAPTULO"/>
        <w:numPr>
          <w:ilvl w:val="0"/>
          <w:numId w:val="0"/>
        </w:numPr>
        <w:ind w:left="360"/>
        <w:rPr>
          <w:rFonts w:asciiTheme="majorHAnsi" w:hAnsiTheme="majorHAnsi"/>
          <w:sz w:val="22"/>
        </w:rPr>
      </w:pPr>
    </w:p>
    <w:p w14:paraId="59C934DB" w14:textId="77777777" w:rsidR="00A47DF3" w:rsidRDefault="00A47DF3" w:rsidP="00424156">
      <w:pPr>
        <w:pStyle w:val="CAPTULO"/>
        <w:numPr>
          <w:ilvl w:val="0"/>
          <w:numId w:val="0"/>
        </w:numPr>
        <w:ind w:left="360"/>
        <w:rPr>
          <w:rFonts w:asciiTheme="majorHAnsi" w:hAnsiTheme="majorHAnsi"/>
          <w:sz w:val="22"/>
        </w:rPr>
      </w:pPr>
    </w:p>
    <w:p w14:paraId="4DB95363" w14:textId="77777777" w:rsidR="00A47DF3" w:rsidRDefault="00A47DF3" w:rsidP="00424156">
      <w:pPr>
        <w:pStyle w:val="CAPTULO"/>
        <w:numPr>
          <w:ilvl w:val="0"/>
          <w:numId w:val="0"/>
        </w:numPr>
        <w:ind w:left="360"/>
        <w:rPr>
          <w:rFonts w:asciiTheme="majorHAnsi" w:hAnsiTheme="majorHAnsi"/>
          <w:sz w:val="22"/>
        </w:rPr>
      </w:pPr>
    </w:p>
    <w:p w14:paraId="59C0D0F5" w14:textId="77777777" w:rsidR="00A47DF3" w:rsidRDefault="00A47DF3" w:rsidP="00424156">
      <w:pPr>
        <w:pStyle w:val="CAPTULO"/>
        <w:numPr>
          <w:ilvl w:val="0"/>
          <w:numId w:val="0"/>
        </w:numPr>
        <w:ind w:left="360"/>
        <w:rPr>
          <w:rFonts w:asciiTheme="majorHAnsi" w:hAnsiTheme="majorHAnsi"/>
          <w:sz w:val="22"/>
        </w:rPr>
      </w:pPr>
    </w:p>
    <w:p w14:paraId="551D3898" w14:textId="77777777" w:rsidR="00A47DF3" w:rsidRDefault="00A47DF3" w:rsidP="00424156">
      <w:pPr>
        <w:pStyle w:val="CAPTULO"/>
        <w:numPr>
          <w:ilvl w:val="0"/>
          <w:numId w:val="0"/>
        </w:numPr>
        <w:ind w:left="360"/>
        <w:rPr>
          <w:rFonts w:asciiTheme="majorHAnsi" w:hAnsiTheme="majorHAnsi"/>
          <w:sz w:val="22"/>
        </w:rPr>
      </w:pPr>
    </w:p>
    <w:bookmarkEnd w:id="12" w:displacedByCustomXml="next"/>
    <w:bookmarkEnd w:id="11" w:displacedByCustomXml="next"/>
    <w:bookmarkEnd w:id="10" w:displacedByCustomXml="next"/>
    <w:bookmarkEnd w:id="9" w:displacedByCustomXml="next"/>
    <w:bookmarkEnd w:id="8" w:displacedByCustomXml="next"/>
    <w:bookmarkEnd w:id="7" w:displacedByCustomXml="next"/>
    <w:bookmarkEnd w:id="6" w:displacedByCustomXml="next"/>
    <w:bookmarkEnd w:id="5" w:displacedByCustomXml="next"/>
    <w:bookmarkEnd w:id="4" w:displacedByCustomXml="next"/>
    <w:bookmarkEnd w:id="3" w:displacedByCustomXml="next"/>
    <w:bookmarkEnd w:id="2" w:displacedByCustomXml="next"/>
    <w:bookmarkEnd w:id="1" w:displacedByCustomXml="next"/>
    <w:bookmarkEnd w:id="0" w:displacedByCustomXml="next"/>
    <w:bookmarkStart w:id="13" w:name="_Toc479013862" w:displacedByCustomXml="next"/>
    <w:bookmarkStart w:id="14" w:name="_Toc478926323" w:displacedByCustomXml="next"/>
    <w:bookmarkStart w:id="15" w:name="_Toc478926197" w:displacedByCustomXml="next"/>
    <w:bookmarkStart w:id="16" w:name="_Toc478924991" w:displacedByCustomXml="next"/>
    <w:bookmarkStart w:id="17" w:name="_Toc478924186" w:displacedByCustomXml="next"/>
    <w:bookmarkStart w:id="18" w:name="_Toc478924064" w:displacedByCustomXml="next"/>
    <w:bookmarkStart w:id="19" w:name="_Toc478923593" w:displacedByCustomXml="next"/>
    <w:bookmarkStart w:id="20" w:name="_Toc475090187" w:displacedByCustomXml="next"/>
    <w:bookmarkStart w:id="21" w:name="_Toc475089945" w:displacedByCustomXml="next"/>
    <w:bookmarkStart w:id="22" w:name="_Toc475089820" w:displacedByCustomXml="next"/>
    <w:sdt>
      <w:sdtPr>
        <w:rPr>
          <w:rFonts w:asciiTheme="minorHAnsi" w:hAnsiTheme="minorHAnsi"/>
          <w:szCs w:val="22"/>
        </w:rPr>
        <w:id w:val="41261855"/>
        <w:docPartObj>
          <w:docPartGallery w:val="Table of Contents"/>
          <w:docPartUnique/>
        </w:docPartObj>
      </w:sdtPr>
      <w:sdtEndPr>
        <w:rPr>
          <w:rFonts w:ascii="Arial" w:hAnsi="Arial"/>
          <w:b w:val="0"/>
          <w:bCs w:val="0"/>
          <w:szCs w:val="24"/>
        </w:rPr>
      </w:sdtEndPr>
      <w:sdtContent>
        <w:p w14:paraId="1B2949A3" w14:textId="5C92A7C4" w:rsidR="00F74EBE" w:rsidRPr="004A3E11" w:rsidRDefault="00F74EBE" w:rsidP="004A3E11">
          <w:pPr>
            <w:pStyle w:val="Sumrio1"/>
            <w:tabs>
              <w:tab w:val="clear" w:pos="1321"/>
            </w:tabs>
            <w:spacing w:before="0" w:after="100" w:line="276" w:lineRule="auto"/>
            <w:jc w:val="center"/>
            <w:rPr>
              <w:rFonts w:eastAsiaTheme="majorEastAsia" w:cstheme="majorBidi"/>
              <w:color w:val="C00000"/>
              <w:sz w:val="32"/>
              <w:szCs w:val="32"/>
            </w:rPr>
          </w:pPr>
          <w:r w:rsidRPr="00A47DF3">
            <w:rPr>
              <w:rFonts w:eastAsiaTheme="majorEastAsia" w:cstheme="majorBidi"/>
              <w:color w:val="0066B2"/>
              <w:sz w:val="32"/>
              <w:szCs w:val="32"/>
            </w:rPr>
            <w:t>Sumário</w:t>
          </w:r>
        </w:p>
        <w:p w14:paraId="6BD4505A" w14:textId="77777777" w:rsidR="00FF22F1" w:rsidRPr="00FF22F1" w:rsidRDefault="00F74EBE" w:rsidP="00FF22F1">
          <w:pPr>
            <w:pStyle w:val="Sumrio1"/>
            <w:tabs>
              <w:tab w:val="clear" w:pos="1321"/>
            </w:tabs>
            <w:spacing w:before="0" w:after="100" w:line="276" w:lineRule="auto"/>
            <w:rPr>
              <w:rStyle w:val="Hyperlink"/>
              <w:rFonts w:ascii="Calibri Light" w:hAnsi="Calibri Light"/>
            </w:rPr>
          </w:pPr>
          <w:r w:rsidRPr="00FF22F1">
            <w:rPr>
              <w:rStyle w:val="Hyperlink"/>
              <w:rFonts w:ascii="Calibri Light" w:hAnsi="Calibri Light"/>
              <w:bCs w:val="0"/>
              <w:noProof/>
              <w:szCs w:val="22"/>
            </w:rPr>
            <w:fldChar w:fldCharType="begin"/>
          </w:r>
          <w:r w:rsidRPr="00785469">
            <w:rPr>
              <w:rStyle w:val="Hyperlink"/>
              <w:rFonts w:ascii="Calibri Light" w:hAnsi="Calibri Light"/>
              <w:bCs w:val="0"/>
              <w:noProof/>
              <w:szCs w:val="22"/>
            </w:rPr>
            <w:instrText xml:space="preserve"> TOC \o "1-3" \h \z \u </w:instrText>
          </w:r>
          <w:r w:rsidRPr="00FF22F1">
            <w:rPr>
              <w:rStyle w:val="Hyperlink"/>
              <w:rFonts w:ascii="Calibri Light" w:hAnsi="Calibri Light"/>
              <w:bCs w:val="0"/>
              <w:noProof/>
              <w:szCs w:val="22"/>
            </w:rPr>
            <w:fldChar w:fldCharType="separate"/>
          </w:r>
          <w:hyperlink w:anchor="_Toc482620233" w:history="1">
            <w:r w:rsidR="00FF22F1" w:rsidRPr="00FF22F1">
              <w:rPr>
                <w:rStyle w:val="Hyperlink"/>
                <w:rFonts w:ascii="Calibri Light" w:hAnsi="Calibri Light"/>
                <w:bCs w:val="0"/>
                <w:noProof/>
                <w:szCs w:val="22"/>
              </w:rPr>
              <w:t>Apresentação</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_Toc482620233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3</w:t>
            </w:r>
            <w:r w:rsidR="00FF22F1" w:rsidRPr="00FF22F1">
              <w:rPr>
                <w:rStyle w:val="Hyperlink"/>
                <w:rFonts w:ascii="Calibri Light" w:hAnsi="Calibri Light"/>
                <w:bCs w:val="0"/>
                <w:webHidden/>
                <w:szCs w:val="22"/>
              </w:rPr>
              <w:fldChar w:fldCharType="end"/>
            </w:r>
          </w:hyperlink>
        </w:p>
        <w:p w14:paraId="4B1B70B9" w14:textId="2C74B46F"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34" w:history="1">
            <w:r w:rsidR="00FF22F1" w:rsidRPr="00FF22F1">
              <w:rPr>
                <w:rStyle w:val="Hyperlink"/>
                <w:rFonts w:ascii="Calibri Light" w:hAnsi="Calibri Light"/>
                <w:bCs w:val="0"/>
                <w:noProof/>
                <w:szCs w:val="22"/>
              </w:rPr>
              <w:t>1</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60601-1-2</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_Toc482620234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4</w:t>
            </w:r>
            <w:r w:rsidR="00FF22F1" w:rsidRPr="00FF22F1">
              <w:rPr>
                <w:rStyle w:val="Hyperlink"/>
                <w:rFonts w:ascii="Calibri Light" w:hAnsi="Calibri Light"/>
                <w:bCs w:val="0"/>
                <w:webHidden/>
                <w:szCs w:val="22"/>
              </w:rPr>
              <w:fldChar w:fldCharType="end"/>
            </w:r>
          </w:hyperlink>
        </w:p>
        <w:p w14:paraId="76C055ED" w14:textId="740CF9CC"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35" w:history="1">
            <w:r w:rsidR="00FF22F1" w:rsidRPr="00FF22F1">
              <w:rPr>
                <w:rStyle w:val="Hyperlink"/>
                <w:rFonts w:ascii="Calibri Light" w:hAnsi="Calibri Light"/>
                <w:b w:val="0"/>
                <w:bCs w:val="0"/>
                <w:noProof/>
                <w:szCs w:val="22"/>
              </w:rPr>
              <w:t>1.1</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Ambientes de tratamento</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_Toc482620235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4</w:t>
            </w:r>
            <w:r w:rsidR="00FF22F1" w:rsidRPr="00FF22F1">
              <w:rPr>
                <w:rStyle w:val="Hyperlink"/>
                <w:rFonts w:ascii="Calibri Light" w:hAnsi="Calibri Light"/>
                <w:b w:val="0"/>
                <w:bCs w:val="0"/>
                <w:webHidden/>
                <w:szCs w:val="22"/>
              </w:rPr>
              <w:fldChar w:fldCharType="end"/>
            </w:r>
          </w:hyperlink>
        </w:p>
        <w:p w14:paraId="4BAD5471" w14:textId="14A50796"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36" w:history="1">
            <w:r w:rsidR="00FF22F1" w:rsidRPr="00FF22F1">
              <w:rPr>
                <w:rStyle w:val="Hyperlink"/>
                <w:rFonts w:ascii="Calibri Light" w:hAnsi="Calibri Light"/>
                <w:b w:val="0"/>
                <w:bCs w:val="0"/>
                <w:noProof/>
                <w:szCs w:val="22"/>
              </w:rPr>
              <w:t>1.2</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Como avaliar o atendimento aos requisitos</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_Toc482620236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7</w:t>
            </w:r>
            <w:r w:rsidR="00FF22F1" w:rsidRPr="00FF22F1">
              <w:rPr>
                <w:rStyle w:val="Hyperlink"/>
                <w:rFonts w:ascii="Calibri Light" w:hAnsi="Calibri Light"/>
                <w:b w:val="0"/>
                <w:bCs w:val="0"/>
                <w:webHidden/>
                <w:szCs w:val="22"/>
              </w:rPr>
              <w:fldChar w:fldCharType="end"/>
            </w:r>
          </w:hyperlink>
        </w:p>
        <w:p w14:paraId="538D49E4" w14:textId="3D92A075"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37" w:history="1">
            <w:r w:rsidR="00FF22F1" w:rsidRPr="00FF22F1">
              <w:rPr>
                <w:rStyle w:val="Hyperlink"/>
                <w:rFonts w:ascii="Calibri Light" w:hAnsi="Calibri Light"/>
                <w:bCs w:val="0"/>
                <w:noProof/>
                <w:szCs w:val="22"/>
              </w:rPr>
              <w:t>2</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60601-1-3</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_Toc482620237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10</w:t>
            </w:r>
            <w:r w:rsidR="00FF22F1" w:rsidRPr="00FF22F1">
              <w:rPr>
                <w:rStyle w:val="Hyperlink"/>
                <w:rFonts w:ascii="Calibri Light" w:hAnsi="Calibri Light"/>
                <w:bCs w:val="0"/>
                <w:webHidden/>
                <w:szCs w:val="22"/>
              </w:rPr>
              <w:fldChar w:fldCharType="end"/>
            </w:r>
          </w:hyperlink>
        </w:p>
        <w:p w14:paraId="6E589DAC" w14:textId="5D777F7A"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38" w:history="1">
            <w:r w:rsidR="00FF22F1" w:rsidRPr="00FF22F1">
              <w:rPr>
                <w:rStyle w:val="Hyperlink"/>
                <w:rFonts w:ascii="Calibri Light" w:hAnsi="Calibri Light"/>
                <w:b w:val="0"/>
                <w:bCs w:val="0"/>
                <w:noProof/>
                <w:szCs w:val="22"/>
              </w:rPr>
              <w:t>2.1</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Objetivo</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_Toc482620238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10</w:t>
            </w:r>
            <w:r w:rsidR="00FF22F1" w:rsidRPr="00FF22F1">
              <w:rPr>
                <w:rStyle w:val="Hyperlink"/>
                <w:rFonts w:ascii="Calibri Light" w:hAnsi="Calibri Light"/>
                <w:b w:val="0"/>
                <w:bCs w:val="0"/>
                <w:webHidden/>
                <w:szCs w:val="22"/>
              </w:rPr>
              <w:fldChar w:fldCharType="end"/>
            </w:r>
          </w:hyperlink>
        </w:p>
        <w:p w14:paraId="58A5B443" w14:textId="6705B299"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39" w:history="1">
            <w:r w:rsidR="00FF22F1" w:rsidRPr="00FF22F1">
              <w:rPr>
                <w:rStyle w:val="Hyperlink"/>
                <w:rFonts w:ascii="Calibri Light" w:hAnsi="Calibri Light"/>
                <w:b w:val="0"/>
                <w:bCs w:val="0"/>
                <w:noProof/>
                <w:szCs w:val="22"/>
              </w:rPr>
              <w:t>2.2</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Princípios norteadores da norma</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_Toc482620239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11</w:t>
            </w:r>
            <w:r w:rsidR="00FF22F1" w:rsidRPr="00FF22F1">
              <w:rPr>
                <w:rStyle w:val="Hyperlink"/>
                <w:rFonts w:ascii="Calibri Light" w:hAnsi="Calibri Light"/>
                <w:b w:val="0"/>
                <w:bCs w:val="0"/>
                <w:webHidden/>
                <w:szCs w:val="22"/>
              </w:rPr>
              <w:fldChar w:fldCharType="end"/>
            </w:r>
          </w:hyperlink>
        </w:p>
        <w:p w14:paraId="68015404" w14:textId="6F8351FD"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0" w:history="1">
            <w:r w:rsidR="00FF22F1" w:rsidRPr="00FF22F1">
              <w:rPr>
                <w:rStyle w:val="Hyperlink"/>
                <w:rFonts w:ascii="Calibri Light" w:hAnsi="Calibri Light"/>
                <w:b w:val="0"/>
                <w:bCs w:val="0"/>
                <w:noProof/>
                <w:szCs w:val="22"/>
              </w:rPr>
              <w:t>2.3</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Responsabilidades e atribuições</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_Toc482620240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11</w:t>
            </w:r>
            <w:r w:rsidR="00FF22F1" w:rsidRPr="00FF22F1">
              <w:rPr>
                <w:rStyle w:val="Hyperlink"/>
                <w:rFonts w:ascii="Calibri Light" w:hAnsi="Calibri Light"/>
                <w:b w:val="0"/>
                <w:bCs w:val="0"/>
                <w:webHidden/>
                <w:szCs w:val="22"/>
              </w:rPr>
              <w:fldChar w:fldCharType="end"/>
            </w:r>
          </w:hyperlink>
        </w:p>
        <w:p w14:paraId="160109F4" w14:textId="1CACC022"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1" w:history="1">
            <w:r w:rsidR="00FF22F1" w:rsidRPr="00FF22F1">
              <w:rPr>
                <w:rStyle w:val="Hyperlink"/>
                <w:rFonts w:ascii="Calibri Light" w:hAnsi="Calibri Light"/>
                <w:b w:val="0"/>
                <w:bCs w:val="0"/>
                <w:noProof/>
                <w:szCs w:val="22"/>
              </w:rPr>
              <w:t>2.4</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Normas complementares</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_Toc482620241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12</w:t>
            </w:r>
            <w:r w:rsidR="00FF22F1" w:rsidRPr="00FF22F1">
              <w:rPr>
                <w:rStyle w:val="Hyperlink"/>
                <w:rFonts w:ascii="Calibri Light" w:hAnsi="Calibri Light"/>
                <w:b w:val="0"/>
                <w:bCs w:val="0"/>
                <w:webHidden/>
                <w:szCs w:val="22"/>
              </w:rPr>
              <w:fldChar w:fldCharType="end"/>
            </w:r>
          </w:hyperlink>
        </w:p>
        <w:p w14:paraId="40E789B7" w14:textId="1A109E10"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2" w:history="1">
            <w:r w:rsidR="00FF22F1" w:rsidRPr="00FF22F1">
              <w:rPr>
                <w:rStyle w:val="Hyperlink"/>
                <w:rFonts w:ascii="Calibri Light" w:hAnsi="Calibri Light"/>
                <w:b w:val="0"/>
                <w:bCs w:val="0"/>
                <w:noProof/>
                <w:szCs w:val="22"/>
              </w:rPr>
              <w:t>2.5</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O que medir para avaliar a proteção contra radiação ionizante</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_Toc482620242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13</w:t>
            </w:r>
            <w:r w:rsidR="00FF22F1" w:rsidRPr="00FF22F1">
              <w:rPr>
                <w:rStyle w:val="Hyperlink"/>
                <w:rFonts w:ascii="Calibri Light" w:hAnsi="Calibri Light"/>
                <w:b w:val="0"/>
                <w:bCs w:val="0"/>
                <w:webHidden/>
                <w:szCs w:val="22"/>
              </w:rPr>
              <w:fldChar w:fldCharType="end"/>
            </w:r>
          </w:hyperlink>
        </w:p>
        <w:p w14:paraId="0D9B148A" w14:textId="25EBCFEF"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43" w:history="1">
            <w:r w:rsidR="00FF22F1" w:rsidRPr="00FF22F1">
              <w:rPr>
                <w:rStyle w:val="Hyperlink"/>
                <w:rFonts w:ascii="Calibri Light" w:hAnsi="Calibri Light"/>
                <w:bCs w:val="0"/>
                <w:noProof/>
                <w:szCs w:val="22"/>
              </w:rPr>
              <w:t>3</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60601-1-6</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_Toc482620243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13</w:t>
            </w:r>
            <w:r w:rsidR="00FF22F1" w:rsidRPr="00FF22F1">
              <w:rPr>
                <w:rStyle w:val="Hyperlink"/>
                <w:rFonts w:ascii="Calibri Light" w:hAnsi="Calibri Light"/>
                <w:bCs w:val="0"/>
                <w:webHidden/>
                <w:szCs w:val="22"/>
              </w:rPr>
              <w:fldChar w:fldCharType="end"/>
            </w:r>
          </w:hyperlink>
        </w:p>
        <w:p w14:paraId="116FAA8F" w14:textId="0121CC7B"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44" w:history="1">
            <w:r w:rsidR="00FF22F1" w:rsidRPr="00FF22F1">
              <w:rPr>
                <w:rStyle w:val="Hyperlink"/>
                <w:rFonts w:ascii="Calibri Light" w:hAnsi="Calibri Light"/>
                <w:bCs w:val="0"/>
                <w:noProof/>
                <w:szCs w:val="22"/>
              </w:rPr>
              <w:t>3.1</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Usabilidade</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_Toc482620244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13</w:t>
            </w:r>
            <w:r w:rsidR="00FF22F1" w:rsidRPr="00FF22F1">
              <w:rPr>
                <w:rStyle w:val="Hyperlink"/>
                <w:rFonts w:ascii="Calibri Light" w:hAnsi="Calibri Light"/>
                <w:bCs w:val="0"/>
                <w:webHidden/>
                <w:szCs w:val="22"/>
              </w:rPr>
              <w:fldChar w:fldCharType="end"/>
            </w:r>
          </w:hyperlink>
        </w:p>
        <w:p w14:paraId="03EEDAD0" w14:textId="50357691"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5" w:history="1">
            <w:r w:rsidR="00FF22F1" w:rsidRPr="00FF22F1">
              <w:rPr>
                <w:rStyle w:val="Hyperlink"/>
                <w:rFonts w:ascii="Calibri Light" w:hAnsi="Calibri Light"/>
                <w:b w:val="0"/>
                <w:bCs w:val="0"/>
                <w:noProof/>
                <w:szCs w:val="22"/>
              </w:rPr>
              <w:t>3.2</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Usabilidade na área médica</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_Toc482620245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14</w:t>
            </w:r>
            <w:r w:rsidR="00FF22F1" w:rsidRPr="00FF22F1">
              <w:rPr>
                <w:rStyle w:val="Hyperlink"/>
                <w:rFonts w:ascii="Calibri Light" w:hAnsi="Calibri Light"/>
                <w:b w:val="0"/>
                <w:bCs w:val="0"/>
                <w:webHidden/>
                <w:szCs w:val="22"/>
              </w:rPr>
              <w:fldChar w:fldCharType="end"/>
            </w:r>
          </w:hyperlink>
        </w:p>
        <w:p w14:paraId="7D4D0D23" w14:textId="5303E123"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6" w:history="1">
            <w:r w:rsidR="00FF22F1" w:rsidRPr="00FF22F1">
              <w:rPr>
                <w:rStyle w:val="Hyperlink"/>
                <w:rFonts w:ascii="Calibri Light" w:hAnsi="Calibri Light"/>
                <w:b w:val="0"/>
                <w:bCs w:val="0"/>
                <w:noProof/>
                <w:szCs w:val="22"/>
              </w:rPr>
              <w:t>3.3</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Desenvolvendo a usabilidade (projeto)</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_Toc482620246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15</w:t>
            </w:r>
            <w:r w:rsidR="00FF22F1" w:rsidRPr="00FF22F1">
              <w:rPr>
                <w:rStyle w:val="Hyperlink"/>
                <w:rFonts w:ascii="Calibri Light" w:hAnsi="Calibri Light"/>
                <w:b w:val="0"/>
                <w:bCs w:val="0"/>
                <w:webHidden/>
                <w:szCs w:val="22"/>
              </w:rPr>
              <w:fldChar w:fldCharType="end"/>
            </w:r>
          </w:hyperlink>
        </w:p>
        <w:p w14:paraId="0FFE0508" w14:textId="08D2449B"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47" w:history="1">
            <w:r w:rsidR="00FF22F1" w:rsidRPr="00FF22F1">
              <w:rPr>
                <w:rStyle w:val="Hyperlink"/>
                <w:rFonts w:ascii="Calibri Light" w:hAnsi="Calibri Light"/>
                <w:bCs w:val="0"/>
                <w:noProof/>
                <w:szCs w:val="22"/>
              </w:rPr>
              <w:t>4</w:t>
            </w:r>
            <w:r w:rsidR="00FF22F1">
              <w:rPr>
                <w:rStyle w:val="Hyperlink"/>
                <w:rFonts w:ascii="Calibri Light" w:hAnsi="Calibri Light"/>
              </w:rPr>
              <w:t xml:space="preserve"> </w:t>
            </w:r>
            <w:r w:rsidR="00FF22F1">
              <w:rPr>
                <w:rStyle w:val="Hyperlink"/>
                <w:rFonts w:ascii="Calibri Light" w:hAnsi="Calibri Light"/>
                <w:bCs w:val="0"/>
                <w:noProof/>
                <w:szCs w:val="22"/>
              </w:rPr>
              <w:t xml:space="preserve">Norma colateral 60601-1-8 </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_Toc482620247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16</w:t>
            </w:r>
            <w:r w:rsidR="00FF22F1" w:rsidRPr="00FF22F1">
              <w:rPr>
                <w:rStyle w:val="Hyperlink"/>
                <w:rFonts w:ascii="Calibri Light" w:hAnsi="Calibri Light"/>
                <w:bCs w:val="0"/>
                <w:webHidden/>
                <w:szCs w:val="22"/>
              </w:rPr>
              <w:fldChar w:fldCharType="end"/>
            </w:r>
          </w:hyperlink>
        </w:p>
        <w:p w14:paraId="1F13CD90" w14:textId="52FB80AF"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8" w:history="1">
            <w:r w:rsidR="00FF22F1" w:rsidRPr="00FF22F1">
              <w:rPr>
                <w:rStyle w:val="Hyperlink"/>
                <w:rFonts w:ascii="Calibri Light" w:hAnsi="Calibri Light"/>
                <w:b w:val="0"/>
                <w:bCs w:val="0"/>
                <w:noProof/>
                <w:szCs w:val="22"/>
              </w:rPr>
              <w:t>4.1</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Características de alarmes de equipamentos eletromédicos</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_Toc482620248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17</w:t>
            </w:r>
            <w:r w:rsidR="00FF22F1" w:rsidRPr="00FF22F1">
              <w:rPr>
                <w:rStyle w:val="Hyperlink"/>
                <w:rFonts w:ascii="Calibri Light" w:hAnsi="Calibri Light"/>
                <w:b w:val="0"/>
                <w:bCs w:val="0"/>
                <w:webHidden/>
                <w:szCs w:val="22"/>
              </w:rPr>
              <w:fldChar w:fldCharType="end"/>
            </w:r>
          </w:hyperlink>
        </w:p>
        <w:p w14:paraId="55C1D5FE" w14:textId="4AA0D460"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49" w:history="1">
            <w:r w:rsidR="00FF22F1" w:rsidRPr="00FF22F1">
              <w:rPr>
                <w:rStyle w:val="Hyperlink"/>
                <w:rFonts w:ascii="Calibri Light" w:hAnsi="Calibri Light"/>
                <w:b w:val="0"/>
                <w:bCs w:val="0"/>
                <w:noProof/>
                <w:szCs w:val="22"/>
              </w:rPr>
              <w:t>4.2</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O que deve ser avaliado em alarmes</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_Toc482620249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20</w:t>
            </w:r>
            <w:r w:rsidR="00FF22F1" w:rsidRPr="00FF22F1">
              <w:rPr>
                <w:rStyle w:val="Hyperlink"/>
                <w:rFonts w:ascii="Calibri Light" w:hAnsi="Calibri Light"/>
                <w:b w:val="0"/>
                <w:bCs w:val="0"/>
                <w:webHidden/>
                <w:szCs w:val="22"/>
              </w:rPr>
              <w:fldChar w:fldCharType="end"/>
            </w:r>
          </w:hyperlink>
        </w:p>
        <w:p w14:paraId="083B5276" w14:textId="48840858"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0" w:history="1">
            <w:r w:rsidR="00FF22F1" w:rsidRPr="00FF22F1">
              <w:rPr>
                <w:rStyle w:val="Hyperlink"/>
                <w:rFonts w:ascii="Calibri Light" w:hAnsi="Calibri Light"/>
                <w:bCs w:val="0"/>
                <w:noProof/>
                <w:szCs w:val="22"/>
              </w:rPr>
              <w:t>5</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60601-1-9 –</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_Toc482620250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21</w:t>
            </w:r>
            <w:r w:rsidR="00FF22F1" w:rsidRPr="00FF22F1">
              <w:rPr>
                <w:rStyle w:val="Hyperlink"/>
                <w:rFonts w:ascii="Calibri Light" w:hAnsi="Calibri Light"/>
                <w:bCs w:val="0"/>
                <w:webHidden/>
                <w:szCs w:val="22"/>
              </w:rPr>
              <w:fldChar w:fldCharType="end"/>
            </w:r>
          </w:hyperlink>
        </w:p>
        <w:p w14:paraId="66D71C88" w14:textId="2691E0C1"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51" w:history="1">
            <w:r w:rsidR="00FF22F1" w:rsidRPr="00FF22F1">
              <w:rPr>
                <w:rStyle w:val="Hyperlink"/>
                <w:rFonts w:ascii="Calibri Light" w:hAnsi="Calibri Light"/>
                <w:b w:val="0"/>
                <w:bCs w:val="0"/>
                <w:noProof/>
                <w:szCs w:val="22"/>
              </w:rPr>
              <w:t>5.1</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Projeto ecologicamente consciente</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_Toc482620251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21</w:t>
            </w:r>
            <w:r w:rsidR="00FF22F1" w:rsidRPr="00FF22F1">
              <w:rPr>
                <w:rStyle w:val="Hyperlink"/>
                <w:rFonts w:ascii="Calibri Light" w:hAnsi="Calibri Light"/>
                <w:b w:val="0"/>
                <w:bCs w:val="0"/>
                <w:webHidden/>
                <w:szCs w:val="22"/>
              </w:rPr>
              <w:fldChar w:fldCharType="end"/>
            </w:r>
          </w:hyperlink>
        </w:p>
        <w:p w14:paraId="656E78ED" w14:textId="70EEAD83" w:rsidR="00FF22F1" w:rsidRPr="00FF22F1" w:rsidRDefault="0052160A" w:rsidP="00FF22F1">
          <w:pPr>
            <w:pStyle w:val="Sumrio1"/>
            <w:tabs>
              <w:tab w:val="clear" w:pos="1321"/>
            </w:tabs>
            <w:spacing w:before="0" w:after="100" w:line="276" w:lineRule="auto"/>
            <w:rPr>
              <w:rStyle w:val="Hyperlink"/>
              <w:rFonts w:ascii="Calibri Light" w:hAnsi="Calibri Light"/>
              <w:b w:val="0"/>
            </w:rPr>
          </w:pPr>
          <w:hyperlink w:anchor="_Toc482620252" w:history="1">
            <w:r w:rsidR="00FF22F1" w:rsidRPr="00FF22F1">
              <w:rPr>
                <w:rStyle w:val="Hyperlink"/>
                <w:rFonts w:ascii="Calibri Light" w:hAnsi="Calibri Light"/>
                <w:b w:val="0"/>
                <w:bCs w:val="0"/>
                <w:noProof/>
                <w:szCs w:val="22"/>
              </w:rPr>
              <w:t>5.2</w:t>
            </w:r>
            <w:r w:rsidR="00FF22F1" w:rsidRPr="00FF22F1">
              <w:rPr>
                <w:rStyle w:val="Hyperlink"/>
                <w:rFonts w:ascii="Calibri Light" w:hAnsi="Calibri Light"/>
                <w:b w:val="0"/>
              </w:rPr>
              <w:t xml:space="preserve"> </w:t>
            </w:r>
            <w:r w:rsidR="00FF22F1" w:rsidRPr="00FF22F1">
              <w:rPr>
                <w:rStyle w:val="Hyperlink"/>
                <w:rFonts w:ascii="Calibri Light" w:hAnsi="Calibri Light"/>
                <w:b w:val="0"/>
                <w:bCs w:val="0"/>
                <w:noProof/>
                <w:szCs w:val="22"/>
              </w:rPr>
              <w:t>Economizando recursos e promovendo saúde</w:t>
            </w:r>
            <w:r w:rsidR="00FF22F1" w:rsidRPr="00FF22F1">
              <w:rPr>
                <w:rStyle w:val="Hyperlink"/>
                <w:rFonts w:ascii="Calibri Light" w:hAnsi="Calibri Light"/>
                <w:b w:val="0"/>
                <w:bCs w:val="0"/>
                <w:webHidden/>
                <w:szCs w:val="22"/>
              </w:rPr>
              <w:tab/>
            </w:r>
            <w:r w:rsidR="00FF22F1" w:rsidRPr="00FF22F1">
              <w:rPr>
                <w:rStyle w:val="Hyperlink"/>
                <w:rFonts w:ascii="Calibri Light" w:hAnsi="Calibri Light"/>
                <w:b w:val="0"/>
                <w:bCs w:val="0"/>
                <w:webHidden/>
                <w:szCs w:val="22"/>
              </w:rPr>
              <w:fldChar w:fldCharType="begin"/>
            </w:r>
            <w:r w:rsidR="00FF22F1" w:rsidRPr="00FF22F1">
              <w:rPr>
                <w:rStyle w:val="Hyperlink"/>
                <w:rFonts w:ascii="Calibri Light" w:hAnsi="Calibri Light"/>
                <w:b w:val="0"/>
                <w:bCs w:val="0"/>
                <w:webHidden/>
                <w:szCs w:val="22"/>
              </w:rPr>
              <w:instrText xml:space="preserve"> PAGEREF _Toc482620252 \h </w:instrText>
            </w:r>
            <w:r w:rsidR="00FF22F1" w:rsidRPr="00FF22F1">
              <w:rPr>
                <w:rStyle w:val="Hyperlink"/>
                <w:rFonts w:ascii="Calibri Light" w:hAnsi="Calibri Light"/>
                <w:b w:val="0"/>
                <w:bCs w:val="0"/>
                <w:webHidden/>
                <w:szCs w:val="22"/>
              </w:rPr>
            </w:r>
            <w:r w:rsidR="00FF22F1" w:rsidRPr="00FF22F1">
              <w:rPr>
                <w:rStyle w:val="Hyperlink"/>
                <w:rFonts w:ascii="Calibri Light" w:hAnsi="Calibri Light"/>
                <w:b w:val="0"/>
                <w:bCs w:val="0"/>
                <w:webHidden/>
                <w:szCs w:val="22"/>
              </w:rPr>
              <w:fldChar w:fldCharType="separate"/>
            </w:r>
            <w:r w:rsidR="00DA3A7D">
              <w:rPr>
                <w:rStyle w:val="Hyperlink"/>
                <w:rFonts w:ascii="Calibri Light" w:hAnsi="Calibri Light"/>
                <w:b w:val="0"/>
                <w:bCs w:val="0"/>
                <w:noProof/>
                <w:webHidden/>
                <w:szCs w:val="22"/>
              </w:rPr>
              <w:t>22</w:t>
            </w:r>
            <w:r w:rsidR="00FF22F1" w:rsidRPr="00FF22F1">
              <w:rPr>
                <w:rStyle w:val="Hyperlink"/>
                <w:rFonts w:ascii="Calibri Light" w:hAnsi="Calibri Light"/>
                <w:b w:val="0"/>
                <w:bCs w:val="0"/>
                <w:webHidden/>
                <w:szCs w:val="22"/>
              </w:rPr>
              <w:fldChar w:fldCharType="end"/>
            </w:r>
          </w:hyperlink>
        </w:p>
        <w:p w14:paraId="5A220F09" w14:textId="564A10D5"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3" w:history="1">
            <w:r w:rsidR="00FF22F1" w:rsidRPr="00FF22F1">
              <w:rPr>
                <w:rStyle w:val="Hyperlink"/>
                <w:rFonts w:ascii="Calibri Light" w:hAnsi="Calibri Light"/>
                <w:bCs w:val="0"/>
                <w:noProof/>
                <w:szCs w:val="22"/>
              </w:rPr>
              <w:t>6</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60601-1-10</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_Toc482620253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22</w:t>
            </w:r>
            <w:r w:rsidR="00FF22F1" w:rsidRPr="00FF22F1">
              <w:rPr>
                <w:rStyle w:val="Hyperlink"/>
                <w:rFonts w:ascii="Calibri Light" w:hAnsi="Calibri Light"/>
                <w:bCs w:val="0"/>
                <w:webHidden/>
                <w:szCs w:val="22"/>
              </w:rPr>
              <w:fldChar w:fldCharType="end"/>
            </w:r>
          </w:hyperlink>
        </w:p>
        <w:p w14:paraId="67A7BE88" w14:textId="3C2FD98F"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4" w:history="1">
            <w:r w:rsidR="00FF22F1" w:rsidRPr="00FF22F1">
              <w:rPr>
                <w:rStyle w:val="Hyperlink"/>
                <w:rFonts w:ascii="Calibri Light" w:hAnsi="Calibri Light"/>
                <w:bCs w:val="0"/>
                <w:noProof/>
                <w:szCs w:val="22"/>
              </w:rPr>
              <w:t>7</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Norma colateral 60601-1-11</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_Toc482620254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24</w:t>
            </w:r>
            <w:r w:rsidR="00FF22F1" w:rsidRPr="00FF22F1">
              <w:rPr>
                <w:rStyle w:val="Hyperlink"/>
                <w:rFonts w:ascii="Calibri Light" w:hAnsi="Calibri Light"/>
                <w:bCs w:val="0"/>
                <w:webHidden/>
                <w:szCs w:val="22"/>
              </w:rPr>
              <w:fldChar w:fldCharType="end"/>
            </w:r>
          </w:hyperlink>
        </w:p>
        <w:p w14:paraId="294567AF" w14:textId="6658EBB8"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5" w:history="1">
            <w:r w:rsidR="00FF22F1" w:rsidRPr="00FF22F1">
              <w:rPr>
                <w:rStyle w:val="Hyperlink"/>
                <w:rFonts w:ascii="Calibri Light" w:hAnsi="Calibri Light"/>
                <w:bCs w:val="0"/>
                <w:noProof/>
                <w:szCs w:val="22"/>
              </w:rPr>
              <w:t>8</w:t>
            </w:r>
            <w:r w:rsidR="00FF22F1">
              <w:rPr>
                <w:rStyle w:val="Hyperlink"/>
                <w:rFonts w:ascii="Calibri Light" w:hAnsi="Calibri Light"/>
              </w:rPr>
              <w:t xml:space="preserve"> </w:t>
            </w:r>
            <w:r w:rsidR="00FF22F1" w:rsidRPr="00FF22F1">
              <w:rPr>
                <w:rStyle w:val="Hyperlink"/>
                <w:rFonts w:ascii="Calibri Light" w:hAnsi="Calibri Light"/>
                <w:bCs w:val="0"/>
                <w:noProof/>
                <w:szCs w:val="22"/>
              </w:rPr>
              <w:t xml:space="preserve">Norma colateral 60601-1-12 </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_Toc482620255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24</w:t>
            </w:r>
            <w:r w:rsidR="00FF22F1" w:rsidRPr="00FF22F1">
              <w:rPr>
                <w:rStyle w:val="Hyperlink"/>
                <w:rFonts w:ascii="Calibri Light" w:hAnsi="Calibri Light"/>
                <w:bCs w:val="0"/>
                <w:webHidden/>
                <w:szCs w:val="22"/>
              </w:rPr>
              <w:fldChar w:fldCharType="end"/>
            </w:r>
          </w:hyperlink>
        </w:p>
        <w:p w14:paraId="66A77D36" w14:textId="77777777"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6" w:history="1">
            <w:r w:rsidR="00FF22F1" w:rsidRPr="00FF22F1">
              <w:rPr>
                <w:rStyle w:val="Hyperlink"/>
                <w:rFonts w:ascii="Calibri Light" w:hAnsi="Calibri Light"/>
                <w:bCs w:val="0"/>
                <w:noProof/>
                <w:szCs w:val="22"/>
              </w:rPr>
              <w:t>Finalizando</w:t>
            </w:r>
            <w:r w:rsidR="00FF22F1" w:rsidRPr="00FF22F1">
              <w:rPr>
                <w:rStyle w:val="Hyperlink"/>
                <w:rFonts w:ascii="Calibri Light" w:hAnsi="Calibri Light"/>
                <w:bCs w:val="0"/>
                <w:webHidden/>
                <w:szCs w:val="22"/>
              </w:rPr>
              <w:tab/>
            </w:r>
            <w:r w:rsidR="00FF22F1" w:rsidRPr="00FF22F1">
              <w:rPr>
                <w:rStyle w:val="Hyperlink"/>
                <w:rFonts w:ascii="Calibri Light" w:hAnsi="Calibri Light"/>
                <w:bCs w:val="0"/>
                <w:webHidden/>
                <w:szCs w:val="22"/>
              </w:rPr>
              <w:fldChar w:fldCharType="begin"/>
            </w:r>
            <w:r w:rsidR="00FF22F1" w:rsidRPr="00FF22F1">
              <w:rPr>
                <w:rStyle w:val="Hyperlink"/>
                <w:rFonts w:ascii="Calibri Light" w:hAnsi="Calibri Light"/>
                <w:bCs w:val="0"/>
                <w:webHidden/>
                <w:szCs w:val="22"/>
              </w:rPr>
              <w:instrText xml:space="preserve"> PAGEREF _Toc482620256 \h </w:instrText>
            </w:r>
            <w:r w:rsidR="00FF22F1" w:rsidRPr="00FF22F1">
              <w:rPr>
                <w:rStyle w:val="Hyperlink"/>
                <w:rFonts w:ascii="Calibri Light" w:hAnsi="Calibri Light"/>
                <w:bCs w:val="0"/>
                <w:webHidden/>
                <w:szCs w:val="22"/>
              </w:rPr>
            </w:r>
            <w:r w:rsidR="00FF22F1" w:rsidRPr="00FF22F1">
              <w:rPr>
                <w:rStyle w:val="Hyperlink"/>
                <w:rFonts w:ascii="Calibri Light" w:hAnsi="Calibri Light"/>
                <w:bCs w:val="0"/>
                <w:webHidden/>
                <w:szCs w:val="22"/>
              </w:rPr>
              <w:fldChar w:fldCharType="separate"/>
            </w:r>
            <w:r w:rsidR="00DA3A7D">
              <w:rPr>
                <w:rStyle w:val="Hyperlink"/>
                <w:rFonts w:ascii="Calibri Light" w:hAnsi="Calibri Light"/>
                <w:bCs w:val="0"/>
                <w:noProof/>
                <w:webHidden/>
                <w:szCs w:val="22"/>
              </w:rPr>
              <w:t>25</w:t>
            </w:r>
            <w:r w:rsidR="00FF22F1" w:rsidRPr="00FF22F1">
              <w:rPr>
                <w:rStyle w:val="Hyperlink"/>
                <w:rFonts w:ascii="Calibri Light" w:hAnsi="Calibri Light"/>
                <w:bCs w:val="0"/>
                <w:webHidden/>
                <w:szCs w:val="22"/>
              </w:rPr>
              <w:fldChar w:fldCharType="end"/>
            </w:r>
          </w:hyperlink>
        </w:p>
        <w:p w14:paraId="427B7C40" w14:textId="745C4FF1" w:rsidR="00FF22F1" w:rsidRPr="00FF22F1" w:rsidRDefault="0052160A" w:rsidP="00FF22F1">
          <w:pPr>
            <w:pStyle w:val="Sumrio1"/>
            <w:tabs>
              <w:tab w:val="clear" w:pos="1321"/>
            </w:tabs>
            <w:spacing w:before="0" w:after="100" w:line="276" w:lineRule="auto"/>
            <w:rPr>
              <w:rStyle w:val="Hyperlink"/>
              <w:rFonts w:ascii="Calibri Light" w:hAnsi="Calibri Light"/>
            </w:rPr>
          </w:pPr>
          <w:hyperlink w:anchor="_Toc482620257" w:history="1">
            <w:r w:rsidR="00783989">
              <w:rPr>
                <w:rStyle w:val="Hyperlink"/>
                <w:rFonts w:ascii="Calibri Light" w:hAnsi="Calibri Light"/>
                <w:bCs w:val="0"/>
                <w:noProof/>
                <w:szCs w:val="22"/>
              </w:rPr>
              <w:t>Referências</w:t>
            </w:r>
            <w:r w:rsidR="00FF22F1" w:rsidRPr="00FF22F1">
              <w:rPr>
                <w:rStyle w:val="Hyperlink"/>
                <w:rFonts w:ascii="Calibri Light" w:hAnsi="Calibri Light"/>
                <w:bCs w:val="0"/>
                <w:webHidden/>
                <w:szCs w:val="22"/>
              </w:rPr>
              <w:tab/>
            </w:r>
          </w:hyperlink>
          <w:r w:rsidR="00457F93" w:rsidRPr="00457F93">
            <w:rPr>
              <w:rStyle w:val="Hyperlink"/>
              <w:rFonts w:ascii="Calibri Light" w:hAnsi="Calibri Light"/>
              <w:bCs w:val="0"/>
              <w:color w:val="auto"/>
              <w:szCs w:val="22"/>
              <w:u w:val="none"/>
            </w:rPr>
            <w:t>26</w:t>
          </w:r>
        </w:p>
        <w:p w14:paraId="19FAA8EA" w14:textId="44145F23" w:rsidR="00F74EBE" w:rsidRDefault="00F74EBE" w:rsidP="00785469">
          <w:pPr>
            <w:pStyle w:val="Sumrio1"/>
            <w:tabs>
              <w:tab w:val="clear" w:pos="1321"/>
            </w:tabs>
            <w:spacing w:before="0" w:after="100" w:line="276" w:lineRule="auto"/>
          </w:pPr>
          <w:r w:rsidRPr="00FF22F1">
            <w:rPr>
              <w:rStyle w:val="Hyperlink"/>
              <w:rFonts w:ascii="Calibri Light" w:hAnsi="Calibri Light"/>
              <w:bCs w:val="0"/>
              <w:noProof/>
              <w:szCs w:val="22"/>
            </w:rPr>
            <w:fldChar w:fldCharType="end"/>
          </w:r>
        </w:p>
      </w:sdtContent>
    </w:sdt>
    <w:p w14:paraId="4FB30F43" w14:textId="77777777" w:rsidR="002E3DB7" w:rsidRDefault="002E3DB7" w:rsidP="002E3DB7">
      <w:pPr>
        <w:pStyle w:val="TTULO"/>
        <w:spacing w:after="160"/>
        <w:outlineLvl w:val="0"/>
        <w:rPr>
          <w:rFonts w:asciiTheme="majorHAnsi" w:hAnsiTheme="majorHAnsi"/>
          <w:sz w:val="22"/>
        </w:rPr>
      </w:pPr>
    </w:p>
    <w:p w14:paraId="0BECF3AC" w14:textId="77777777" w:rsidR="00F74EBE" w:rsidRDefault="00F74EBE">
      <w:pPr>
        <w:rPr>
          <w:rFonts w:asciiTheme="majorHAnsi" w:hAnsiTheme="majorHAnsi" w:cs="Arial"/>
          <w:b/>
        </w:rPr>
      </w:pPr>
      <w:r>
        <w:rPr>
          <w:rFonts w:asciiTheme="majorHAnsi" w:hAnsiTheme="majorHAnsi"/>
        </w:rPr>
        <w:br w:type="page"/>
      </w:r>
    </w:p>
    <w:p w14:paraId="13562744" w14:textId="77777777" w:rsidR="00F74EBE" w:rsidRDefault="00F74EBE" w:rsidP="002E3DB7">
      <w:pPr>
        <w:pStyle w:val="TTULO"/>
        <w:spacing w:after="160"/>
        <w:outlineLvl w:val="0"/>
        <w:rPr>
          <w:rFonts w:asciiTheme="majorHAnsi" w:hAnsiTheme="majorHAnsi"/>
          <w:sz w:val="22"/>
        </w:rPr>
        <w:sectPr w:rsidR="00F74EBE" w:rsidSect="00F00D1A">
          <w:footerReference w:type="default" r:id="rId9"/>
          <w:pgSz w:w="11906" w:h="16838"/>
          <w:pgMar w:top="1134" w:right="1134" w:bottom="1134" w:left="1418" w:header="709" w:footer="291" w:gutter="0"/>
          <w:pgNumType w:start="1" w:chapSep="emDash"/>
          <w:cols w:space="708"/>
          <w:docGrid w:linePitch="360"/>
        </w:sectPr>
      </w:pPr>
    </w:p>
    <w:p w14:paraId="499E88A9" w14:textId="77777777" w:rsidR="00F74EBE" w:rsidRDefault="00F74EBE" w:rsidP="00F74EBE">
      <w:pPr>
        <w:pStyle w:val="Ttulo1"/>
        <w:spacing w:after="240" w:line="276" w:lineRule="auto"/>
        <w:ind w:left="426"/>
        <w:jc w:val="center"/>
        <w:rPr>
          <w:rFonts w:ascii="Calibri Light" w:hAnsi="Calibri Light"/>
          <w:b/>
          <w:color w:val="C00000"/>
        </w:rPr>
      </w:pPr>
    </w:p>
    <w:p w14:paraId="706688C8" w14:textId="77777777" w:rsidR="00F74EBE" w:rsidRDefault="00F74EBE" w:rsidP="00F74EBE">
      <w:pPr>
        <w:pStyle w:val="Ttulo1"/>
        <w:spacing w:after="240" w:line="276" w:lineRule="auto"/>
        <w:ind w:left="426"/>
        <w:jc w:val="center"/>
        <w:rPr>
          <w:rFonts w:ascii="Calibri Light" w:hAnsi="Calibri Light"/>
          <w:b/>
          <w:color w:val="C00000"/>
        </w:rPr>
      </w:pPr>
    </w:p>
    <w:p w14:paraId="289A418A" w14:textId="77777777" w:rsidR="00F74EBE" w:rsidRPr="00F74EBE" w:rsidRDefault="00F74EBE" w:rsidP="00F74EBE"/>
    <w:p w14:paraId="0347CB1D" w14:textId="14BC3551" w:rsidR="006862E4" w:rsidRPr="00F74EBE" w:rsidRDefault="006862E4" w:rsidP="00F74EBE">
      <w:pPr>
        <w:pStyle w:val="Ttulo1"/>
        <w:spacing w:after="240" w:line="276" w:lineRule="auto"/>
        <w:ind w:left="426"/>
        <w:jc w:val="center"/>
        <w:rPr>
          <w:rFonts w:ascii="Calibri Light" w:hAnsi="Calibri Light"/>
          <w:b/>
          <w:color w:val="C00000"/>
        </w:rPr>
      </w:pPr>
      <w:bookmarkStart w:id="23" w:name="_Toc482620233"/>
      <w:r w:rsidRPr="00A47DF3">
        <w:rPr>
          <w:rFonts w:ascii="Calibri Light" w:hAnsi="Calibri Light"/>
          <w:b/>
          <w:color w:val="0066B2"/>
        </w:rPr>
        <w:t>Apresentação</w:t>
      </w:r>
      <w:bookmarkEnd w:id="22"/>
      <w:bookmarkEnd w:id="21"/>
      <w:bookmarkEnd w:id="20"/>
      <w:bookmarkEnd w:id="19"/>
      <w:bookmarkEnd w:id="18"/>
      <w:bookmarkEnd w:id="17"/>
      <w:bookmarkEnd w:id="16"/>
      <w:bookmarkEnd w:id="15"/>
      <w:bookmarkEnd w:id="14"/>
      <w:bookmarkEnd w:id="13"/>
      <w:bookmarkEnd w:id="23"/>
    </w:p>
    <w:p w14:paraId="0458FC73" w14:textId="534300DC" w:rsidR="003E6B1F" w:rsidRPr="0021622B" w:rsidRDefault="00F07D32" w:rsidP="00B125DD">
      <w:pPr>
        <w:spacing w:line="360" w:lineRule="auto"/>
        <w:jc w:val="both"/>
        <w:rPr>
          <w:rFonts w:asciiTheme="majorHAnsi" w:hAnsiTheme="majorHAnsi" w:cs="Arial"/>
        </w:rPr>
      </w:pPr>
      <w:r w:rsidRPr="0021622B">
        <w:rPr>
          <w:rFonts w:asciiTheme="majorHAnsi" w:hAnsiTheme="majorHAnsi" w:cs="Arial"/>
        </w:rPr>
        <w:t xml:space="preserve">Conforme apresentamos nas aulas </w:t>
      </w:r>
      <w:r w:rsidR="003B296F" w:rsidRPr="0021622B">
        <w:rPr>
          <w:rFonts w:asciiTheme="majorHAnsi" w:hAnsiTheme="majorHAnsi" w:cs="Arial"/>
        </w:rPr>
        <w:t>anteriores, a elaboração de normas colaterais foi o meio que a IEC, particularmente o TC62, identificou para conseguir distribuir os requisitos gerais em vários documentos normativos distintos</w:t>
      </w:r>
      <w:r w:rsidR="00790E29" w:rsidRPr="0021622B">
        <w:rPr>
          <w:rFonts w:asciiTheme="majorHAnsi" w:hAnsiTheme="majorHAnsi" w:cs="Arial"/>
        </w:rPr>
        <w:t>.</w:t>
      </w:r>
      <w:r w:rsidR="003B296F" w:rsidRPr="0021622B">
        <w:rPr>
          <w:rFonts w:asciiTheme="majorHAnsi" w:hAnsiTheme="majorHAnsi" w:cs="Arial"/>
        </w:rPr>
        <w:t xml:space="preserve"> Pela sua natureza, as normas colaterais podem tanto definir requisitos adicionais para um determinado subgrupo de equipamentos eletromédicos não abarcados completamente pela norma geral ou podem adicionar requisitos para determinadas características comuns a muitos distintos grupos de </w:t>
      </w:r>
      <w:r w:rsidRPr="0021622B">
        <w:rPr>
          <w:rFonts w:asciiTheme="majorHAnsi" w:hAnsiTheme="majorHAnsi" w:cs="Arial"/>
        </w:rPr>
        <w:t xml:space="preserve">equipamentos </w:t>
      </w:r>
      <w:r w:rsidR="003B296F" w:rsidRPr="0021622B">
        <w:rPr>
          <w:rFonts w:asciiTheme="majorHAnsi" w:hAnsiTheme="majorHAnsi" w:cs="Arial"/>
        </w:rPr>
        <w:t>eletromédicos. Nest</w:t>
      </w:r>
      <w:r w:rsidR="004E61FD" w:rsidRPr="0021622B">
        <w:rPr>
          <w:rFonts w:asciiTheme="majorHAnsi" w:hAnsiTheme="majorHAnsi" w:cs="Arial"/>
        </w:rPr>
        <w:t>e capítulo</w:t>
      </w:r>
      <w:r w:rsidR="003B296F" w:rsidRPr="0021622B">
        <w:rPr>
          <w:rFonts w:asciiTheme="majorHAnsi" w:hAnsiTheme="majorHAnsi" w:cs="Arial"/>
        </w:rPr>
        <w:t xml:space="preserve"> </w:t>
      </w:r>
      <w:r w:rsidR="004E61FD" w:rsidRPr="0021622B">
        <w:rPr>
          <w:rFonts w:asciiTheme="majorHAnsi" w:hAnsiTheme="majorHAnsi" w:cs="Arial"/>
        </w:rPr>
        <w:t xml:space="preserve">serão </w:t>
      </w:r>
      <w:r w:rsidR="003B296F" w:rsidRPr="0021622B">
        <w:rPr>
          <w:rFonts w:asciiTheme="majorHAnsi" w:hAnsiTheme="majorHAnsi" w:cs="Arial"/>
        </w:rPr>
        <w:t>apresenta</w:t>
      </w:r>
      <w:r w:rsidR="004E61FD" w:rsidRPr="0021622B">
        <w:rPr>
          <w:rFonts w:asciiTheme="majorHAnsi" w:hAnsiTheme="majorHAnsi" w:cs="Arial"/>
        </w:rPr>
        <w:t>das</w:t>
      </w:r>
      <w:r w:rsidR="003B296F" w:rsidRPr="0021622B">
        <w:rPr>
          <w:rFonts w:asciiTheme="majorHAnsi" w:hAnsiTheme="majorHAnsi" w:cs="Arial"/>
        </w:rPr>
        <w:t xml:space="preserve"> as principais características de cada uma das normas colaterais válidas.</w:t>
      </w:r>
    </w:p>
    <w:p w14:paraId="35D88024" w14:textId="77777777" w:rsidR="00F74EBE" w:rsidRPr="00785469" w:rsidRDefault="00F74EBE">
      <w:pPr>
        <w:rPr>
          <w:rFonts w:asciiTheme="majorHAnsi" w:hAnsiTheme="majorHAnsi" w:cs="Arial"/>
          <w:b/>
        </w:rPr>
      </w:pPr>
      <w:bookmarkStart w:id="24" w:name="_Toc475089821"/>
      <w:bookmarkStart w:id="25" w:name="_Toc475089946"/>
      <w:bookmarkStart w:id="26" w:name="_Toc475090188"/>
      <w:bookmarkStart w:id="27" w:name="_Toc478923594"/>
      <w:bookmarkStart w:id="28" w:name="_Toc478923954"/>
      <w:bookmarkStart w:id="29" w:name="_Toc478924065"/>
      <w:bookmarkStart w:id="30" w:name="_Toc478924187"/>
      <w:bookmarkStart w:id="31" w:name="_Toc478924992"/>
      <w:bookmarkStart w:id="32" w:name="_Toc478926198"/>
      <w:bookmarkStart w:id="33" w:name="_Toc478926324"/>
      <w:bookmarkStart w:id="34" w:name="_Toc479013863"/>
      <w:r w:rsidRPr="00785469">
        <w:rPr>
          <w:rFonts w:asciiTheme="majorHAnsi" w:hAnsiTheme="majorHAnsi"/>
        </w:rPr>
        <w:br w:type="page"/>
      </w:r>
    </w:p>
    <w:p w14:paraId="068A1458" w14:textId="0FB535AA" w:rsidR="003E6B1F"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35" w:name="_Toc482620234"/>
      <w:r w:rsidRPr="00A47DF3">
        <w:rPr>
          <w:rFonts w:ascii="Calibri Light" w:hAnsi="Calibri Light"/>
          <w:b/>
          <w:color w:val="0066B2"/>
          <w:lang w:val="en-US"/>
        </w:rPr>
        <w:lastRenderedPageBreak/>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60601-1-2 – </w:t>
      </w:r>
      <w:r w:rsidR="00365F80" w:rsidRPr="00A47DF3">
        <w:rPr>
          <w:rFonts w:ascii="Calibri Light" w:hAnsi="Calibri Light"/>
          <w:b/>
          <w:i/>
          <w:color w:val="0066B2"/>
          <w:lang w:val="en-US"/>
        </w:rPr>
        <w:t>Electromagnetic disturbances – Requirements and tests</w:t>
      </w:r>
      <w:bookmarkEnd w:id="24"/>
      <w:bookmarkEnd w:id="25"/>
      <w:bookmarkEnd w:id="26"/>
      <w:bookmarkEnd w:id="27"/>
      <w:bookmarkEnd w:id="28"/>
      <w:bookmarkEnd w:id="29"/>
      <w:bookmarkEnd w:id="30"/>
      <w:bookmarkEnd w:id="31"/>
      <w:bookmarkEnd w:id="32"/>
      <w:bookmarkEnd w:id="33"/>
      <w:bookmarkEnd w:id="34"/>
      <w:bookmarkEnd w:id="35"/>
    </w:p>
    <w:p w14:paraId="4F1263DA" w14:textId="5B825973" w:rsidR="00DD29D8" w:rsidRPr="0021622B" w:rsidRDefault="00DD29D8" w:rsidP="00B125DD">
      <w:pPr>
        <w:spacing w:line="360" w:lineRule="auto"/>
        <w:jc w:val="both"/>
        <w:rPr>
          <w:rFonts w:asciiTheme="majorHAnsi" w:hAnsiTheme="majorHAnsi" w:cs="Arial"/>
        </w:rPr>
      </w:pPr>
      <w:r w:rsidRPr="0021622B">
        <w:rPr>
          <w:rFonts w:asciiTheme="majorHAnsi" w:hAnsiTheme="majorHAnsi" w:cs="Arial"/>
        </w:rPr>
        <w:t>Esta norma colateral foi elaborada pelo subcomitê técnico IEC STC62A e está na sua 4ª edição.</w:t>
      </w:r>
    </w:p>
    <w:p w14:paraId="1AC6893B" w14:textId="090E97D6" w:rsidR="003E6B1F" w:rsidRPr="0021622B" w:rsidRDefault="000C63B0" w:rsidP="00B125DD">
      <w:pPr>
        <w:spacing w:line="360" w:lineRule="auto"/>
        <w:jc w:val="both"/>
        <w:rPr>
          <w:rFonts w:asciiTheme="majorHAnsi" w:hAnsiTheme="majorHAnsi" w:cs="Arial"/>
        </w:rPr>
      </w:pPr>
      <w:r>
        <w:rPr>
          <w:noProof/>
          <w:lang w:eastAsia="pt-BR"/>
        </w:rPr>
        <w:drawing>
          <wp:anchor distT="0" distB="0" distL="114300" distR="114300" simplePos="0" relativeHeight="251660288" behindDoc="1" locked="0" layoutInCell="1" allowOverlap="1" wp14:anchorId="0FE3B2BA" wp14:editId="49AE5A47">
            <wp:simplePos x="0" y="0"/>
            <wp:positionH relativeFrom="margin">
              <wp:align>right</wp:align>
            </wp:positionH>
            <wp:positionV relativeFrom="paragraph">
              <wp:posOffset>304800</wp:posOffset>
            </wp:positionV>
            <wp:extent cx="2405380" cy="2122170"/>
            <wp:effectExtent l="0" t="0" r="0" b="0"/>
            <wp:wrapTight wrapText="bothSides">
              <wp:wrapPolygon edited="0">
                <wp:start x="0" y="0"/>
                <wp:lineTo x="0" y="21329"/>
                <wp:lineTo x="21383" y="21329"/>
                <wp:lineTo x="21383" y="0"/>
                <wp:lineTo x="0" y="0"/>
              </wp:wrapPolygon>
            </wp:wrapTight>
            <wp:docPr id="6" name="Imagem 6" descr="http://prodsaude-entib.org.br/prodsaude/imagens/PS_60601_A0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rodsaude-entib.org.br/prodsaude/imagens/PS_60601_A03_0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5380" cy="21221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B296F" w:rsidRPr="0021622B">
        <w:rPr>
          <w:rFonts w:asciiTheme="majorHAnsi" w:hAnsiTheme="majorHAnsi" w:cs="Arial"/>
        </w:rPr>
        <w:t xml:space="preserve">Compatibilidade eletromagnética é uma designação geral </w:t>
      </w:r>
      <w:r w:rsidR="00553164" w:rsidRPr="0021622B">
        <w:rPr>
          <w:rFonts w:asciiTheme="majorHAnsi" w:hAnsiTheme="majorHAnsi" w:cs="Arial"/>
        </w:rPr>
        <w:t>que descreve a interação entre equipamentos elétricos e eletrônicos</w:t>
      </w:r>
      <w:r w:rsidR="00DD3170" w:rsidRPr="0021622B">
        <w:rPr>
          <w:rFonts w:asciiTheme="majorHAnsi" w:hAnsiTheme="majorHAnsi" w:cs="Arial"/>
        </w:rPr>
        <w:t>. Como é natural imaginar, virtualmente todos equipamentos eletromédicos podem ser potencialmente afetados negativamente por interações com outros equipamentos elétricos ou eletrônicos, seja de uso médico ou não. Por exemplo, um simples celular pode emitir ondas eletromagnéticas que, se não forem devidamente avaliadas quanto a sua interação com equipamentos eletromédicos, podem vir a aumentar o risco de ocorrer uma condição anormal sob uma única falha (CASF – veja</w:t>
      </w:r>
      <w:r w:rsidR="002721AE" w:rsidRPr="0021622B">
        <w:rPr>
          <w:rFonts w:asciiTheme="majorHAnsi" w:hAnsiTheme="majorHAnsi" w:cs="Arial"/>
        </w:rPr>
        <w:t xml:space="preserve"> </w:t>
      </w:r>
      <w:r w:rsidR="00F07D32" w:rsidRPr="0021622B">
        <w:rPr>
          <w:rFonts w:asciiTheme="majorHAnsi" w:hAnsiTheme="majorHAnsi" w:cs="Arial"/>
        </w:rPr>
        <w:t>a Aula 2</w:t>
      </w:r>
      <w:r w:rsidR="00DD3170" w:rsidRPr="0021622B">
        <w:rPr>
          <w:rFonts w:asciiTheme="majorHAnsi" w:hAnsiTheme="majorHAnsi" w:cs="Arial"/>
        </w:rPr>
        <w:t>).</w:t>
      </w:r>
    </w:p>
    <w:p w14:paraId="4A17BE74" w14:textId="2C36145B" w:rsidR="00DD3170" w:rsidRPr="0021622B" w:rsidRDefault="00DD3170" w:rsidP="00B125DD">
      <w:pPr>
        <w:spacing w:line="360" w:lineRule="auto"/>
        <w:jc w:val="both"/>
        <w:rPr>
          <w:rFonts w:asciiTheme="majorHAnsi" w:hAnsiTheme="majorHAnsi" w:cs="Arial"/>
        </w:rPr>
      </w:pPr>
      <w:r w:rsidRPr="0021622B">
        <w:rPr>
          <w:rFonts w:asciiTheme="majorHAnsi" w:hAnsiTheme="majorHAnsi" w:cs="Arial"/>
        </w:rPr>
        <w:t>A 4ª edição desta norma colateral promoveu algumas mudanças significativas em relação ao que se abordava anteriormente em avaliação da compatibilidade eletromagnéticas. Foi introduzida a diferenciação entre ambientes de tratamento, sendo eles o ambiente doméstico (</w:t>
      </w:r>
      <w:r w:rsidRPr="0021622B">
        <w:rPr>
          <w:rFonts w:asciiTheme="majorHAnsi" w:hAnsiTheme="majorHAnsi" w:cs="Arial"/>
          <w:i/>
        </w:rPr>
        <w:t xml:space="preserve">home </w:t>
      </w:r>
      <w:proofErr w:type="spellStart"/>
      <w:r w:rsidRPr="0021622B">
        <w:rPr>
          <w:rFonts w:asciiTheme="majorHAnsi" w:hAnsiTheme="majorHAnsi" w:cs="Arial"/>
          <w:i/>
        </w:rPr>
        <w:t>healthcare</w:t>
      </w:r>
      <w:proofErr w:type="spellEnd"/>
      <w:r w:rsidRPr="0021622B">
        <w:rPr>
          <w:rFonts w:asciiTheme="majorHAnsi" w:hAnsiTheme="majorHAnsi" w:cs="Arial"/>
        </w:rPr>
        <w:t>), ambientes profissionais e ambientes especiais. Os ensaios de imunidade eletromagnética foram ajustados para que a norma fique compatível com outras normas de avaliação de imunidade</w:t>
      </w:r>
      <w:r w:rsidR="00F07D32" w:rsidRPr="0021622B">
        <w:rPr>
          <w:rFonts w:asciiTheme="majorHAnsi" w:hAnsiTheme="majorHAnsi" w:cs="Arial"/>
        </w:rPr>
        <w:t>.</w:t>
      </w:r>
      <w:r w:rsidR="002721AE" w:rsidRPr="0021622B">
        <w:rPr>
          <w:rFonts w:asciiTheme="majorHAnsi" w:hAnsiTheme="majorHAnsi" w:cs="Arial"/>
        </w:rPr>
        <w:t xml:space="preserve"> </w:t>
      </w:r>
      <w:r w:rsidR="00F07D32" w:rsidRPr="0021622B">
        <w:rPr>
          <w:rFonts w:asciiTheme="majorHAnsi" w:hAnsiTheme="majorHAnsi" w:cs="Arial"/>
        </w:rPr>
        <w:t>O</w:t>
      </w:r>
      <w:r w:rsidRPr="0021622B">
        <w:rPr>
          <w:rFonts w:asciiTheme="majorHAnsi" w:hAnsiTheme="majorHAnsi" w:cs="Arial"/>
        </w:rPr>
        <w:t>s níveis de imunidade foram elevados para diversos equipamentos e ambientes</w:t>
      </w:r>
      <w:r w:rsidR="00641D10" w:rsidRPr="0021622B">
        <w:rPr>
          <w:rFonts w:asciiTheme="majorHAnsi" w:hAnsiTheme="majorHAnsi" w:cs="Arial"/>
        </w:rPr>
        <w:t>, particularmente os ambientes especiais</w:t>
      </w:r>
      <w:r w:rsidRPr="0021622B">
        <w:rPr>
          <w:rFonts w:asciiTheme="majorHAnsi" w:hAnsiTheme="majorHAnsi" w:cs="Arial"/>
        </w:rPr>
        <w:t>.</w:t>
      </w:r>
      <w:r w:rsidR="00641D10" w:rsidRPr="0021622B">
        <w:rPr>
          <w:rFonts w:asciiTheme="majorHAnsi" w:hAnsiTheme="majorHAnsi" w:cs="Arial"/>
        </w:rPr>
        <w:t xml:space="preserve"> Em alinhamento com a filosofia geral da 3ª edição da norma geral, esta norma colateral adota o gerenciamento de risco para nortear os requisitos de segurança e desempenho eletromagneticamente compatíveis.</w:t>
      </w:r>
    </w:p>
    <w:p w14:paraId="213C058E" w14:textId="18483E73" w:rsidR="005C1DFE" w:rsidRPr="0021622B" w:rsidRDefault="005C1DFE" w:rsidP="00B125DD">
      <w:pPr>
        <w:spacing w:line="360" w:lineRule="auto"/>
        <w:jc w:val="both"/>
        <w:rPr>
          <w:rFonts w:asciiTheme="majorHAnsi" w:hAnsiTheme="majorHAnsi" w:cs="Arial"/>
        </w:rPr>
      </w:pPr>
      <w:r w:rsidRPr="0021622B">
        <w:rPr>
          <w:rFonts w:asciiTheme="majorHAnsi" w:hAnsiTheme="majorHAnsi" w:cs="Arial"/>
        </w:rPr>
        <w:t xml:space="preserve">A </w:t>
      </w:r>
      <w:r w:rsidR="00F07D32" w:rsidRPr="0021622B">
        <w:rPr>
          <w:rFonts w:asciiTheme="majorHAnsi" w:hAnsiTheme="majorHAnsi" w:cs="Arial"/>
        </w:rPr>
        <w:t>C</w:t>
      </w:r>
      <w:r w:rsidRPr="0021622B">
        <w:rPr>
          <w:rFonts w:asciiTheme="majorHAnsi" w:hAnsiTheme="majorHAnsi" w:cs="Arial"/>
        </w:rPr>
        <w:t>láusula 17 da norma geral faz referência à compatibilidade eletromagnética, sendo, portanto, complementada pelo conteúdo da norma colateral IEC 60601-1-2.</w:t>
      </w:r>
    </w:p>
    <w:p w14:paraId="4B85D24D" w14:textId="253000A8" w:rsidR="00641D10" w:rsidRPr="00A47DF3" w:rsidRDefault="00641D10"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36" w:name="_Toc475089822"/>
      <w:bookmarkStart w:id="37" w:name="_Toc475089947"/>
      <w:bookmarkStart w:id="38" w:name="_Toc475090189"/>
      <w:bookmarkStart w:id="39" w:name="_Toc478923595"/>
      <w:bookmarkStart w:id="40" w:name="_Toc478923955"/>
      <w:bookmarkStart w:id="41" w:name="_Toc478924066"/>
      <w:bookmarkStart w:id="42" w:name="_Toc478924188"/>
      <w:bookmarkStart w:id="43" w:name="_Toc478924993"/>
      <w:bookmarkStart w:id="44" w:name="_Toc478926199"/>
      <w:bookmarkStart w:id="45" w:name="_Toc478926325"/>
      <w:bookmarkStart w:id="46" w:name="_Toc479013864"/>
      <w:bookmarkStart w:id="47" w:name="_Toc482620235"/>
      <w:r w:rsidRPr="00A47DF3">
        <w:rPr>
          <w:rFonts w:ascii="Calibri Light" w:hAnsi="Calibri Light"/>
          <w:color w:val="0066B2"/>
          <w:sz w:val="32"/>
          <w:szCs w:val="32"/>
        </w:rPr>
        <w:t>Ambientes de tratamento</w:t>
      </w:r>
      <w:bookmarkEnd w:id="36"/>
      <w:bookmarkEnd w:id="37"/>
      <w:bookmarkEnd w:id="38"/>
      <w:bookmarkEnd w:id="39"/>
      <w:bookmarkEnd w:id="40"/>
      <w:bookmarkEnd w:id="41"/>
      <w:bookmarkEnd w:id="42"/>
      <w:bookmarkEnd w:id="43"/>
      <w:bookmarkEnd w:id="44"/>
      <w:bookmarkEnd w:id="45"/>
      <w:bookmarkEnd w:id="46"/>
      <w:bookmarkEnd w:id="47"/>
    </w:p>
    <w:p w14:paraId="67E19FF3" w14:textId="376024D0" w:rsidR="00641D10" w:rsidRPr="0021622B" w:rsidRDefault="00641D10" w:rsidP="00F74EBE">
      <w:pPr>
        <w:spacing w:line="360" w:lineRule="auto"/>
        <w:jc w:val="both"/>
        <w:rPr>
          <w:rFonts w:asciiTheme="majorHAnsi" w:hAnsiTheme="majorHAnsi" w:cs="Arial"/>
        </w:rPr>
      </w:pPr>
      <w:r w:rsidRPr="0021622B">
        <w:rPr>
          <w:rFonts w:asciiTheme="majorHAnsi" w:hAnsiTheme="majorHAnsi" w:cs="Arial"/>
        </w:rPr>
        <w:t xml:space="preserve">O ambiente típico para se utilizar um equipamento eletromédico é o ambiente profissional. </w:t>
      </w:r>
      <w:r w:rsidR="002632C6" w:rsidRPr="0021622B">
        <w:rPr>
          <w:rFonts w:asciiTheme="majorHAnsi" w:hAnsiTheme="majorHAnsi" w:cs="Arial"/>
        </w:rPr>
        <w:t xml:space="preserve">Podemos citar como exemplos os </w:t>
      </w:r>
      <w:r w:rsidRPr="0021622B">
        <w:rPr>
          <w:rFonts w:asciiTheme="majorHAnsi" w:hAnsiTheme="majorHAnsi" w:cs="Arial"/>
        </w:rPr>
        <w:t xml:space="preserve">hospitais, </w:t>
      </w:r>
      <w:r w:rsidR="002632C6" w:rsidRPr="0021622B">
        <w:rPr>
          <w:rFonts w:asciiTheme="majorHAnsi" w:hAnsiTheme="majorHAnsi" w:cs="Arial"/>
        </w:rPr>
        <w:t xml:space="preserve">as </w:t>
      </w:r>
      <w:r w:rsidRPr="0021622B">
        <w:rPr>
          <w:rFonts w:asciiTheme="majorHAnsi" w:hAnsiTheme="majorHAnsi" w:cs="Arial"/>
        </w:rPr>
        <w:t xml:space="preserve">clínicas, </w:t>
      </w:r>
      <w:r w:rsidR="002632C6" w:rsidRPr="0021622B">
        <w:rPr>
          <w:rFonts w:asciiTheme="majorHAnsi" w:hAnsiTheme="majorHAnsi" w:cs="Arial"/>
        </w:rPr>
        <w:t xml:space="preserve">os </w:t>
      </w:r>
      <w:r w:rsidRPr="0021622B">
        <w:rPr>
          <w:rFonts w:asciiTheme="majorHAnsi" w:hAnsiTheme="majorHAnsi" w:cs="Arial"/>
        </w:rPr>
        <w:t xml:space="preserve">consultórios médicos, </w:t>
      </w:r>
      <w:r w:rsidR="002632C6" w:rsidRPr="0021622B">
        <w:rPr>
          <w:rFonts w:asciiTheme="majorHAnsi" w:hAnsiTheme="majorHAnsi" w:cs="Arial"/>
        </w:rPr>
        <w:t xml:space="preserve">os </w:t>
      </w:r>
      <w:r w:rsidRPr="0021622B">
        <w:rPr>
          <w:rFonts w:asciiTheme="majorHAnsi" w:hAnsiTheme="majorHAnsi" w:cs="Arial"/>
        </w:rPr>
        <w:t xml:space="preserve">centros cirúrgicos, </w:t>
      </w:r>
      <w:r w:rsidR="002632C6" w:rsidRPr="0021622B">
        <w:rPr>
          <w:rFonts w:asciiTheme="majorHAnsi" w:hAnsiTheme="majorHAnsi" w:cs="Arial"/>
        </w:rPr>
        <w:t xml:space="preserve">as </w:t>
      </w:r>
      <w:r w:rsidRPr="0021622B">
        <w:rPr>
          <w:rFonts w:asciiTheme="majorHAnsi" w:hAnsiTheme="majorHAnsi" w:cs="Arial"/>
        </w:rPr>
        <w:t>maternidades</w:t>
      </w:r>
      <w:r w:rsidR="002632C6" w:rsidRPr="0021622B">
        <w:rPr>
          <w:rFonts w:asciiTheme="majorHAnsi" w:hAnsiTheme="majorHAnsi" w:cs="Arial"/>
        </w:rPr>
        <w:t xml:space="preserve"> e os</w:t>
      </w:r>
      <w:r w:rsidR="002721AE" w:rsidRPr="0021622B">
        <w:rPr>
          <w:rFonts w:asciiTheme="majorHAnsi" w:hAnsiTheme="majorHAnsi" w:cs="Arial"/>
        </w:rPr>
        <w:t xml:space="preserve"> </w:t>
      </w:r>
      <w:r w:rsidRPr="0021622B">
        <w:rPr>
          <w:rFonts w:asciiTheme="majorHAnsi" w:hAnsiTheme="majorHAnsi" w:cs="Arial"/>
        </w:rPr>
        <w:t xml:space="preserve">ambulatórios, entre outros. Naturalmente, estes ambientes devem ser construídos com </w:t>
      </w:r>
      <w:r w:rsidR="002632C6" w:rsidRPr="0021622B">
        <w:rPr>
          <w:rFonts w:asciiTheme="majorHAnsi" w:hAnsiTheme="majorHAnsi" w:cs="Arial"/>
        </w:rPr>
        <w:t>todas</w:t>
      </w:r>
      <w:r w:rsidR="002D5F37">
        <w:rPr>
          <w:rFonts w:asciiTheme="majorHAnsi" w:hAnsiTheme="majorHAnsi" w:cs="Arial"/>
        </w:rPr>
        <w:t xml:space="preserve"> </w:t>
      </w:r>
      <w:r w:rsidR="00F74EBE">
        <w:rPr>
          <w:rFonts w:asciiTheme="majorHAnsi" w:hAnsiTheme="majorHAnsi" w:cs="Arial"/>
        </w:rPr>
        <w:t>a</w:t>
      </w:r>
      <w:r w:rsidR="002D5F37">
        <w:rPr>
          <w:rFonts w:asciiTheme="majorHAnsi" w:hAnsiTheme="majorHAnsi" w:cs="Arial"/>
        </w:rPr>
        <w:t>s</w:t>
      </w:r>
      <w:r w:rsidR="00F74EBE">
        <w:rPr>
          <w:rFonts w:asciiTheme="majorHAnsi" w:hAnsiTheme="majorHAnsi" w:cs="Arial"/>
        </w:rPr>
        <w:t xml:space="preserve"> </w:t>
      </w:r>
      <w:r w:rsidRPr="0021622B">
        <w:rPr>
          <w:rFonts w:asciiTheme="majorHAnsi" w:hAnsiTheme="majorHAnsi" w:cs="Arial"/>
        </w:rPr>
        <w:t>precauções para evitar contaminação de vários tipos, incluindo a eletromagnética. Como nem sempre é possível assegurar que o ambiente profissional de atendimento à saúde tenha sido projetado e construído de acordo com as novas normas de compatibilidade eletromagnética</w:t>
      </w:r>
      <w:r w:rsidR="00544E37" w:rsidRPr="0021622B">
        <w:rPr>
          <w:rFonts w:asciiTheme="majorHAnsi" w:hAnsiTheme="majorHAnsi" w:cs="Arial"/>
        </w:rPr>
        <w:t xml:space="preserve">. Portanto, </w:t>
      </w:r>
      <w:r w:rsidRPr="0021622B">
        <w:rPr>
          <w:rFonts w:asciiTheme="majorHAnsi" w:hAnsiTheme="majorHAnsi" w:cs="Arial"/>
        </w:rPr>
        <w:t>cuidado especial deve ser tomado por ocasião da instalação de equipamentos eletromédicos modernos, tais como tomógrafos e ressonâncias magnéticas, por exemplo.</w:t>
      </w:r>
    </w:p>
    <w:p w14:paraId="06CEB026" w14:textId="3A58CACB" w:rsidR="00641D10" w:rsidRPr="0021622B" w:rsidRDefault="00641D10" w:rsidP="00B125DD">
      <w:pPr>
        <w:spacing w:line="360" w:lineRule="auto"/>
        <w:jc w:val="both"/>
        <w:rPr>
          <w:rFonts w:asciiTheme="majorHAnsi" w:hAnsiTheme="majorHAnsi" w:cs="Arial"/>
        </w:rPr>
      </w:pPr>
      <w:r w:rsidRPr="0021622B">
        <w:rPr>
          <w:rFonts w:asciiTheme="majorHAnsi" w:hAnsiTheme="majorHAnsi" w:cs="Arial"/>
        </w:rPr>
        <w:lastRenderedPageBreak/>
        <w:t>O cuidado domiciliar de pacientes é uma realidade cada vez mais presente, e em muitas vezes estimulada, haja vista os benefícios humanitários que este ambiente pode trazer para o paciente e para o tratamento. Em geral, a imunidade eletromagnética não é uma preocupação na construção destes ambientes, o que leva a uma necessária avaliação dos níveis de contaminação eletromagnética</w:t>
      </w:r>
      <w:r w:rsidR="0082012C" w:rsidRPr="0021622B">
        <w:rPr>
          <w:rFonts w:asciiTheme="majorHAnsi" w:hAnsiTheme="majorHAnsi" w:cs="Arial"/>
        </w:rPr>
        <w:t xml:space="preserve">. Possíveis medidas de adequação e isolamento </w:t>
      </w:r>
      <w:r w:rsidR="005A4638" w:rsidRPr="0021622B">
        <w:rPr>
          <w:rFonts w:asciiTheme="majorHAnsi" w:hAnsiTheme="majorHAnsi" w:cs="Arial"/>
        </w:rPr>
        <w:t>às</w:t>
      </w:r>
      <w:r w:rsidR="0082012C" w:rsidRPr="0021622B">
        <w:rPr>
          <w:rFonts w:asciiTheme="majorHAnsi" w:hAnsiTheme="majorHAnsi" w:cs="Arial"/>
        </w:rPr>
        <w:t xml:space="preserve"> contaminações devem ser necessárias para o ambiente de atendimento à saúde domiciliar, sempre </w:t>
      </w:r>
      <w:r w:rsidR="00544E37" w:rsidRPr="0021622B">
        <w:rPr>
          <w:rFonts w:asciiTheme="majorHAnsi" w:hAnsiTheme="majorHAnsi" w:cs="Arial"/>
        </w:rPr>
        <w:t xml:space="preserve">se </w:t>
      </w:r>
      <w:r w:rsidR="0082012C" w:rsidRPr="0021622B">
        <w:rPr>
          <w:rFonts w:asciiTheme="majorHAnsi" w:hAnsiTheme="majorHAnsi" w:cs="Arial"/>
        </w:rPr>
        <w:t>levando em consideração o tipo de equipamento eletromédico que será instalado, mesmo que provisoriamente. Hotéis, aeroportos, estações de trem e mesmo ambientes móveis como tre</w:t>
      </w:r>
      <w:r w:rsidR="000B20D8" w:rsidRPr="0021622B">
        <w:rPr>
          <w:rFonts w:asciiTheme="majorHAnsi" w:hAnsiTheme="majorHAnsi" w:cs="Arial"/>
        </w:rPr>
        <w:t>ns</w:t>
      </w:r>
      <w:r w:rsidR="0082012C" w:rsidRPr="0021622B">
        <w:rPr>
          <w:rFonts w:asciiTheme="majorHAnsi" w:hAnsiTheme="majorHAnsi" w:cs="Arial"/>
        </w:rPr>
        <w:t>, carros e navios podem ser tratados, circunstancialmente, como ambientes domésticos (ou não profissionais) de atendimento à saúde.</w:t>
      </w:r>
    </w:p>
    <w:p w14:paraId="5EFC031A" w14:textId="6B410457" w:rsidR="0082012C" w:rsidRPr="0021622B" w:rsidRDefault="0082012C" w:rsidP="00B125DD">
      <w:pPr>
        <w:spacing w:line="360" w:lineRule="auto"/>
        <w:jc w:val="both"/>
        <w:rPr>
          <w:rFonts w:asciiTheme="majorHAnsi" w:hAnsiTheme="majorHAnsi" w:cs="Arial"/>
        </w:rPr>
      </w:pPr>
      <w:r w:rsidRPr="0021622B">
        <w:rPr>
          <w:rFonts w:asciiTheme="majorHAnsi" w:hAnsiTheme="majorHAnsi" w:cs="Arial"/>
        </w:rPr>
        <w:t xml:space="preserve">Os ditos ambientes especiais são aqueles que não podem ser classificados como profissionais ou domiciliares. A diferença reside, normalmente, no nível de contaminação eletromagnética que o ambiente possui pela natureza das suas atividades. </w:t>
      </w:r>
      <w:r w:rsidR="00544E37" w:rsidRPr="0021622B">
        <w:rPr>
          <w:rFonts w:asciiTheme="majorHAnsi" w:hAnsiTheme="majorHAnsi" w:cs="Arial"/>
        </w:rPr>
        <w:t>Como exemplo, podemo</w:t>
      </w:r>
      <w:r w:rsidR="002721AE" w:rsidRPr="0021622B">
        <w:rPr>
          <w:rFonts w:asciiTheme="majorHAnsi" w:hAnsiTheme="majorHAnsi" w:cs="Arial"/>
        </w:rPr>
        <w:t>s</w:t>
      </w:r>
      <w:r w:rsidR="00544E37" w:rsidRPr="0021622B">
        <w:rPr>
          <w:rFonts w:asciiTheme="majorHAnsi" w:hAnsiTheme="majorHAnsi" w:cs="Arial"/>
        </w:rPr>
        <w:t xml:space="preserve"> citar</w:t>
      </w:r>
      <w:r w:rsidRPr="0021622B">
        <w:rPr>
          <w:rFonts w:asciiTheme="majorHAnsi" w:hAnsiTheme="majorHAnsi" w:cs="Arial"/>
        </w:rPr>
        <w:t xml:space="preserve"> áreas militares </w:t>
      </w:r>
      <w:r w:rsidR="00544E37" w:rsidRPr="0021622B">
        <w:rPr>
          <w:rFonts w:asciiTheme="majorHAnsi" w:hAnsiTheme="majorHAnsi" w:cs="Arial"/>
        </w:rPr>
        <w:t xml:space="preserve">e </w:t>
      </w:r>
      <w:r w:rsidRPr="0021622B">
        <w:rPr>
          <w:rFonts w:asciiTheme="majorHAnsi" w:hAnsiTheme="majorHAnsi" w:cs="Arial"/>
        </w:rPr>
        <w:t>regiões próximas a determinadas atividades fabris (plantas de usinas nucleares ou hidroelétricas, mineradoras, refinarias e siderúrgicas são exemplos).</w:t>
      </w:r>
    </w:p>
    <w:p w14:paraId="45855355" w14:textId="72FEC6DD" w:rsidR="008F22FE" w:rsidRPr="0021622B" w:rsidRDefault="0082012C" w:rsidP="00B125DD">
      <w:pPr>
        <w:spacing w:line="360" w:lineRule="auto"/>
        <w:jc w:val="both"/>
        <w:rPr>
          <w:rFonts w:asciiTheme="majorHAnsi" w:hAnsiTheme="majorHAnsi" w:cs="Arial"/>
        </w:rPr>
      </w:pPr>
      <w:r w:rsidRPr="0021622B">
        <w:rPr>
          <w:rFonts w:asciiTheme="majorHAnsi" w:hAnsiTheme="majorHAnsi" w:cs="Arial"/>
        </w:rPr>
        <w:t>O que difere os ambientes quanto à sua compatibilidade eletromagnética não é apenas o ambiente em si, mas o nível de contaminação eletromagnética típico, bem como os níveis de isolamento para proporcionar imunidade apropriada, sempre em função do tipo de equipamento eletromédico a ser instalado.</w:t>
      </w:r>
      <w:r w:rsidR="008F22FE" w:rsidRPr="0021622B">
        <w:rPr>
          <w:rFonts w:asciiTheme="majorHAnsi" w:hAnsiTheme="majorHAnsi" w:cs="Arial"/>
        </w:rPr>
        <w:t xml:space="preserve"> A </w:t>
      </w:r>
      <w:r w:rsidR="00544E37" w:rsidRPr="0021622B">
        <w:rPr>
          <w:rFonts w:asciiTheme="majorHAnsi" w:hAnsiTheme="majorHAnsi" w:cs="Arial"/>
        </w:rPr>
        <w:fldChar w:fldCharType="begin"/>
      </w:r>
      <w:r w:rsidR="00544E37" w:rsidRPr="0021622B">
        <w:rPr>
          <w:rFonts w:asciiTheme="majorHAnsi" w:hAnsiTheme="majorHAnsi" w:cs="Arial"/>
        </w:rPr>
        <w:instrText xml:space="preserve"> REF _Ref475358345 \r \h </w:instrText>
      </w:r>
      <w:r w:rsidR="0021622B" w:rsidRPr="0021622B">
        <w:rPr>
          <w:rFonts w:asciiTheme="majorHAnsi" w:hAnsiTheme="majorHAnsi" w:cs="Arial"/>
        </w:rPr>
        <w:instrText xml:space="preserve"> \* MERGEFORMAT </w:instrText>
      </w:r>
      <w:r w:rsidR="00544E37" w:rsidRPr="0021622B">
        <w:rPr>
          <w:rFonts w:asciiTheme="majorHAnsi" w:hAnsiTheme="majorHAnsi" w:cs="Arial"/>
        </w:rPr>
      </w:r>
      <w:r w:rsidR="00544E37" w:rsidRPr="0021622B">
        <w:rPr>
          <w:rFonts w:asciiTheme="majorHAnsi" w:hAnsiTheme="majorHAnsi" w:cs="Arial"/>
        </w:rPr>
        <w:fldChar w:fldCharType="separate"/>
      </w:r>
      <w:r w:rsidR="00DA3A7D">
        <w:rPr>
          <w:rFonts w:asciiTheme="majorHAnsi" w:hAnsiTheme="majorHAnsi" w:cs="Arial"/>
        </w:rPr>
        <w:t>Figura 1</w:t>
      </w:r>
      <w:r w:rsidR="00544E37" w:rsidRPr="0021622B">
        <w:rPr>
          <w:rFonts w:asciiTheme="majorHAnsi" w:hAnsiTheme="majorHAnsi" w:cs="Arial"/>
        </w:rPr>
        <w:fldChar w:fldCharType="end"/>
      </w:r>
      <w:r w:rsidR="00544E37" w:rsidRPr="0021622B">
        <w:rPr>
          <w:rFonts w:asciiTheme="majorHAnsi" w:hAnsiTheme="majorHAnsi" w:cs="Arial"/>
        </w:rPr>
        <w:t xml:space="preserve"> </w:t>
      </w:r>
      <w:r w:rsidR="008F22FE" w:rsidRPr="0021622B">
        <w:rPr>
          <w:rFonts w:asciiTheme="majorHAnsi" w:hAnsiTheme="majorHAnsi" w:cs="Arial"/>
        </w:rPr>
        <w:t>apresenta um quadro ilustrativo dos ambientes conforme classificados na norma colateral IEC 60601-1-2.</w:t>
      </w:r>
    </w:p>
    <w:p w14:paraId="51A2A440" w14:textId="3F5107A5" w:rsidR="0082012C" w:rsidRPr="0021622B" w:rsidRDefault="008F22FE" w:rsidP="00B125DD">
      <w:pPr>
        <w:spacing w:line="360" w:lineRule="auto"/>
        <w:jc w:val="both"/>
        <w:rPr>
          <w:rFonts w:asciiTheme="majorHAnsi" w:hAnsiTheme="majorHAnsi" w:cs="Arial"/>
        </w:rPr>
      </w:pPr>
      <w:r w:rsidRPr="0021622B">
        <w:rPr>
          <w:rFonts w:asciiTheme="majorHAnsi" w:hAnsiTheme="majorHAnsi" w:cs="Arial"/>
        </w:rPr>
        <w:t xml:space="preserve">A preocupação com o ambiente de uso pretendido do equipamento eletromédico quanto à compatibilidade eletromagnética vem aumentando recentemente graças às diversas fontes de ondas de rádio disponíveis virtualmente em todo lugar. Além dos próprios equipamentos, há a concorrência ou </w:t>
      </w:r>
      <w:r w:rsidR="00544E37" w:rsidRPr="0021622B">
        <w:rPr>
          <w:rFonts w:asciiTheme="majorHAnsi" w:hAnsiTheme="majorHAnsi" w:cs="Arial"/>
        </w:rPr>
        <w:t xml:space="preserve">a </w:t>
      </w:r>
      <w:r w:rsidRPr="0021622B">
        <w:rPr>
          <w:rFonts w:asciiTheme="majorHAnsi" w:hAnsiTheme="majorHAnsi" w:cs="Arial"/>
        </w:rPr>
        <w:t xml:space="preserve">soma das perturbações </w:t>
      </w:r>
      <w:r w:rsidR="004E2257" w:rsidRPr="0021622B">
        <w:rPr>
          <w:rFonts w:asciiTheme="majorHAnsi" w:hAnsiTheme="majorHAnsi" w:cs="Arial"/>
        </w:rPr>
        <w:t xml:space="preserve">geradas </w:t>
      </w:r>
      <w:r w:rsidRPr="0021622B">
        <w:rPr>
          <w:rFonts w:asciiTheme="majorHAnsi" w:hAnsiTheme="majorHAnsi" w:cs="Arial"/>
        </w:rPr>
        <w:t xml:space="preserve">pelos diversos sistemas sem fios (roteadores de internet, por exemplo), celulares (incluindo as antenas repetidoras) </w:t>
      </w:r>
      <w:r w:rsidR="004E2257" w:rsidRPr="0021622B">
        <w:rPr>
          <w:rFonts w:asciiTheme="majorHAnsi" w:hAnsiTheme="majorHAnsi" w:cs="Arial"/>
        </w:rPr>
        <w:t xml:space="preserve">e </w:t>
      </w:r>
      <w:r w:rsidRPr="0021622B">
        <w:rPr>
          <w:rFonts w:asciiTheme="majorHAnsi" w:hAnsiTheme="majorHAnsi" w:cs="Arial"/>
        </w:rPr>
        <w:t xml:space="preserve">toda variedade de dispositivos de uso recreativo ou profissional. </w:t>
      </w:r>
      <w:r w:rsidR="004E2257" w:rsidRPr="0021622B">
        <w:rPr>
          <w:rFonts w:asciiTheme="majorHAnsi" w:hAnsiTheme="majorHAnsi" w:cs="Arial"/>
        </w:rPr>
        <w:t xml:space="preserve">Particularmente nos ambientes para tratamento domiciliar ou ambientes especiais, muitas vezes </w:t>
      </w:r>
      <w:r w:rsidRPr="0021622B">
        <w:rPr>
          <w:rFonts w:asciiTheme="majorHAnsi" w:hAnsiTheme="majorHAnsi" w:cs="Arial"/>
        </w:rPr>
        <w:t>não é possível impedir ou mesmo limitar a presença destes equipamentos</w:t>
      </w:r>
      <w:r w:rsidR="004E2257" w:rsidRPr="0021622B">
        <w:rPr>
          <w:rFonts w:asciiTheme="majorHAnsi" w:hAnsiTheme="majorHAnsi" w:cs="Arial"/>
        </w:rPr>
        <w:t xml:space="preserve">. Logo, </w:t>
      </w:r>
      <w:r w:rsidRPr="0021622B">
        <w:rPr>
          <w:rFonts w:asciiTheme="majorHAnsi" w:hAnsiTheme="majorHAnsi" w:cs="Arial"/>
        </w:rPr>
        <w:t>cuidado com o nível de contaminação e cuidados técnicos com o isolamento se fazem cada vez mais necessários.</w:t>
      </w:r>
    </w:p>
    <w:p w14:paraId="2BB6C47D" w14:textId="36046141" w:rsidR="00F6351C" w:rsidRDefault="00F6351C" w:rsidP="00B125DD">
      <w:pPr>
        <w:pStyle w:val="FIGURA"/>
        <w:spacing w:after="160" w:line="360" w:lineRule="auto"/>
        <w:rPr>
          <w:rFonts w:asciiTheme="majorHAnsi" w:hAnsiTheme="majorHAnsi"/>
        </w:rPr>
      </w:pPr>
      <w:r w:rsidRPr="0021622B">
        <w:rPr>
          <w:rFonts w:asciiTheme="majorHAnsi" w:hAnsiTheme="majorHAnsi"/>
        </w:rPr>
        <w:lastRenderedPageBreak/>
        <w:t> </w:t>
      </w:r>
      <w:bookmarkStart w:id="48" w:name="_Ref475358345"/>
      <w:bookmarkStart w:id="49" w:name="_Toc478904195"/>
      <w:bookmarkStart w:id="50" w:name="_Toc478924523"/>
      <w:bookmarkStart w:id="51" w:name="_Toc478924560"/>
      <w:bookmarkStart w:id="52" w:name="_Toc478999524"/>
      <w:bookmarkStart w:id="53" w:name="_Toc479021568"/>
      <w:r w:rsidRPr="0021622B">
        <w:rPr>
          <w:rFonts w:asciiTheme="majorHAnsi" w:hAnsiTheme="majorHAnsi"/>
        </w:rPr>
        <w:t>Ambientes com diferentes características de compatibilidade eletromagnética para instalação de equipamentos eletromédicos.</w:t>
      </w:r>
      <w:bookmarkEnd w:id="48"/>
      <w:bookmarkEnd w:id="49"/>
      <w:bookmarkEnd w:id="50"/>
      <w:bookmarkEnd w:id="51"/>
      <w:bookmarkEnd w:id="52"/>
      <w:bookmarkEnd w:id="53"/>
    </w:p>
    <w:p w14:paraId="34E50823" w14:textId="120B83C2" w:rsidR="000C63B0" w:rsidRDefault="000C63B0" w:rsidP="000C63B0">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5E46249D" wp14:editId="2EFC1501">
            <wp:extent cx="5052060" cy="38100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52060" cy="3810000"/>
                    </a:xfrm>
                    <a:prstGeom prst="rect">
                      <a:avLst/>
                    </a:prstGeom>
                    <a:noFill/>
                  </pic:spPr>
                </pic:pic>
              </a:graphicData>
            </a:graphic>
          </wp:inline>
        </w:drawing>
      </w:r>
    </w:p>
    <w:p w14:paraId="193B396F" w14:textId="380424FB" w:rsidR="000C63B0" w:rsidRDefault="000C63B0" w:rsidP="000C63B0">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7C80AF0F" wp14:editId="112448A9">
            <wp:extent cx="5090160" cy="387096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90160" cy="3870960"/>
                    </a:xfrm>
                    <a:prstGeom prst="rect">
                      <a:avLst/>
                    </a:prstGeom>
                    <a:noFill/>
                  </pic:spPr>
                </pic:pic>
              </a:graphicData>
            </a:graphic>
          </wp:inline>
        </w:drawing>
      </w:r>
    </w:p>
    <w:p w14:paraId="517604F9" w14:textId="77777777" w:rsidR="000C63B0" w:rsidRDefault="000C63B0" w:rsidP="000C63B0">
      <w:pPr>
        <w:pStyle w:val="FIGURA"/>
        <w:numPr>
          <w:ilvl w:val="0"/>
          <w:numId w:val="0"/>
        </w:numPr>
        <w:spacing w:after="160" w:line="360" w:lineRule="auto"/>
        <w:ind w:firstLine="567"/>
        <w:rPr>
          <w:rFonts w:asciiTheme="majorHAnsi" w:hAnsiTheme="majorHAnsi"/>
        </w:rPr>
      </w:pPr>
    </w:p>
    <w:p w14:paraId="37A9B1A1" w14:textId="6D572719" w:rsidR="000C63B0" w:rsidRPr="0021622B" w:rsidRDefault="000C63B0" w:rsidP="000C63B0">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lastRenderedPageBreak/>
        <w:drawing>
          <wp:inline distT="0" distB="0" distL="0" distR="0" wp14:anchorId="379BC59C" wp14:editId="0F5FE815">
            <wp:extent cx="5113020" cy="3863340"/>
            <wp:effectExtent l="0" t="0" r="0" b="381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13020" cy="3863340"/>
                    </a:xfrm>
                    <a:prstGeom prst="rect">
                      <a:avLst/>
                    </a:prstGeom>
                    <a:noFill/>
                  </pic:spPr>
                </pic:pic>
              </a:graphicData>
            </a:graphic>
          </wp:inline>
        </w:drawing>
      </w:r>
    </w:p>
    <w:p w14:paraId="14600DA6" w14:textId="05834D5A" w:rsidR="00EA1CD5" w:rsidRPr="0021622B" w:rsidRDefault="00EA1CD5" w:rsidP="001803F7">
      <w:pPr>
        <w:keepNext/>
        <w:spacing w:after="0" w:line="240" w:lineRule="auto"/>
        <w:jc w:val="center"/>
        <w:rPr>
          <w:rFonts w:asciiTheme="majorHAnsi" w:hAnsiTheme="majorHAnsi" w:cs="Arial"/>
        </w:rPr>
      </w:pPr>
    </w:p>
    <w:p w14:paraId="676A8CD0" w14:textId="5B287EA7" w:rsidR="00DB379D" w:rsidRPr="00A47DF3" w:rsidRDefault="00B41872"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54" w:name="_Toc475089823"/>
      <w:bookmarkStart w:id="55" w:name="_Toc475089948"/>
      <w:bookmarkStart w:id="56" w:name="_Toc475090190"/>
      <w:bookmarkStart w:id="57" w:name="_Toc478923596"/>
      <w:bookmarkStart w:id="58" w:name="_Toc478923956"/>
      <w:bookmarkStart w:id="59" w:name="_Toc478924067"/>
      <w:bookmarkStart w:id="60" w:name="_Toc478924189"/>
      <w:bookmarkStart w:id="61" w:name="_Toc478924994"/>
      <w:bookmarkStart w:id="62" w:name="_Toc478926200"/>
      <w:bookmarkStart w:id="63" w:name="_Toc478926326"/>
      <w:bookmarkStart w:id="64" w:name="_Toc479013865"/>
      <w:bookmarkStart w:id="65" w:name="_Toc482620236"/>
      <w:r w:rsidRPr="00A47DF3">
        <w:rPr>
          <w:rFonts w:ascii="Calibri Light" w:hAnsi="Calibri Light"/>
          <w:color w:val="0066B2"/>
          <w:sz w:val="32"/>
          <w:szCs w:val="32"/>
        </w:rPr>
        <w:t>Como avaliar o atendimento aos requisitos</w:t>
      </w:r>
      <w:bookmarkEnd w:id="54"/>
      <w:bookmarkEnd w:id="55"/>
      <w:bookmarkEnd w:id="56"/>
      <w:bookmarkEnd w:id="57"/>
      <w:bookmarkEnd w:id="58"/>
      <w:bookmarkEnd w:id="59"/>
      <w:bookmarkEnd w:id="60"/>
      <w:bookmarkEnd w:id="61"/>
      <w:bookmarkEnd w:id="62"/>
      <w:bookmarkEnd w:id="63"/>
      <w:bookmarkEnd w:id="64"/>
      <w:bookmarkEnd w:id="65"/>
    </w:p>
    <w:p w14:paraId="7DA8FD92" w14:textId="53C6DD94" w:rsidR="00DB379D" w:rsidRPr="0021622B" w:rsidRDefault="00B41872" w:rsidP="00B125DD">
      <w:pPr>
        <w:spacing w:line="360" w:lineRule="auto"/>
        <w:jc w:val="both"/>
        <w:rPr>
          <w:rFonts w:asciiTheme="majorHAnsi" w:hAnsiTheme="majorHAnsi" w:cs="Arial"/>
        </w:rPr>
      </w:pPr>
      <w:r w:rsidRPr="0021622B">
        <w:rPr>
          <w:rFonts w:asciiTheme="majorHAnsi" w:hAnsiTheme="majorHAnsi" w:cs="Arial"/>
        </w:rPr>
        <w:t xml:space="preserve">A filosofia desta norma colateral é que o ambiente de uso pretendido estabelece os limites de emissão eletromagnética que cada equipamento deve </w:t>
      </w:r>
      <w:r w:rsidR="00680D7D" w:rsidRPr="0021622B">
        <w:rPr>
          <w:rFonts w:asciiTheme="majorHAnsi" w:hAnsiTheme="majorHAnsi" w:cs="Arial"/>
        </w:rPr>
        <w:t>atender. Além disso, o equipamento deve permanecer com suas características intactas após sofrerem interferência em valores tabelados, também relacionados ao ambiente de uso pretendido.</w:t>
      </w:r>
    </w:p>
    <w:p w14:paraId="0F2F510F" w14:textId="7A579040" w:rsidR="00680D7D" w:rsidRPr="0021622B" w:rsidRDefault="00680D7D" w:rsidP="00B125DD">
      <w:pPr>
        <w:spacing w:line="360" w:lineRule="auto"/>
        <w:jc w:val="both"/>
        <w:rPr>
          <w:rFonts w:asciiTheme="majorHAnsi" w:hAnsiTheme="majorHAnsi" w:cs="Arial"/>
        </w:rPr>
      </w:pPr>
      <w:r w:rsidRPr="0021622B">
        <w:rPr>
          <w:rFonts w:asciiTheme="majorHAnsi" w:hAnsiTheme="majorHAnsi" w:cs="Arial"/>
        </w:rPr>
        <w:t>Para realizar os ensaios de compatibilidade eletromagnética, o equipamento deve ser colocado em operação com a configuração que mais provavelmente poderá gerar um risco inaceitável. Fica evidente que o gerenciamento de risco deve ser elaborado para prever esta situação menos favorável dentre as previstas para uso do equipamento. Em geral, apenas uma tensão elétrica de alimentação do sistema ou equipamento será utilizada, desde que as condições de risco sejam assim mapeadas.</w:t>
      </w:r>
      <w:r w:rsidR="00FD6EF1" w:rsidRPr="0021622B">
        <w:rPr>
          <w:rFonts w:asciiTheme="majorHAnsi" w:hAnsiTheme="majorHAnsi" w:cs="Arial"/>
        </w:rPr>
        <w:t xml:space="preserve"> As condições de risco devem ser definidas e variam em função do tipo de equipamento e </w:t>
      </w:r>
      <w:r w:rsidR="0088229B" w:rsidRPr="0021622B">
        <w:rPr>
          <w:rFonts w:asciiTheme="majorHAnsi" w:hAnsiTheme="majorHAnsi" w:cs="Arial"/>
        </w:rPr>
        <w:t xml:space="preserve">de </w:t>
      </w:r>
      <w:r w:rsidR="00FD6EF1" w:rsidRPr="0021622B">
        <w:rPr>
          <w:rFonts w:asciiTheme="majorHAnsi" w:hAnsiTheme="majorHAnsi" w:cs="Arial"/>
        </w:rPr>
        <w:t>suas funções, que devem incluir diagnóstico ou tratamento, conforme apropriado. O gerenciamento de risco deve discriminar quais danos ao equipamento são admissíveis, considerando que não vão afetar o desempenho ou segurança. Esses são chamados de “critérios passa/falha” que serão avaliados antes e depois dos ensaios de imunidade eletromagnética.</w:t>
      </w:r>
    </w:p>
    <w:p w14:paraId="080059BE" w14:textId="33200273" w:rsidR="00EA1CD5" w:rsidRPr="0021622B" w:rsidRDefault="00FD6EF1" w:rsidP="00B125DD">
      <w:pPr>
        <w:spacing w:line="360" w:lineRule="auto"/>
        <w:jc w:val="both"/>
        <w:rPr>
          <w:rFonts w:asciiTheme="majorHAnsi" w:hAnsiTheme="majorHAnsi" w:cs="Arial"/>
        </w:rPr>
      </w:pPr>
      <w:r w:rsidRPr="0021622B">
        <w:rPr>
          <w:rFonts w:asciiTheme="majorHAnsi" w:hAnsiTheme="majorHAnsi" w:cs="Arial"/>
        </w:rPr>
        <w:t xml:space="preserve">O ensaio do equipamento eletromédico é feito colocando-o em uma “câmara </w:t>
      </w:r>
      <w:proofErr w:type="spellStart"/>
      <w:r w:rsidRPr="0021622B">
        <w:rPr>
          <w:rFonts w:asciiTheme="majorHAnsi" w:hAnsiTheme="majorHAnsi" w:cs="Arial"/>
        </w:rPr>
        <w:t>anecóica</w:t>
      </w:r>
      <w:proofErr w:type="spellEnd"/>
      <w:r w:rsidRPr="0021622B">
        <w:rPr>
          <w:rFonts w:asciiTheme="majorHAnsi" w:hAnsiTheme="majorHAnsi" w:cs="Arial"/>
        </w:rPr>
        <w:t xml:space="preserve"> eletromagnética”. Esta câmara deve ser especialmente projetada para os ensaios a serem realizados</w:t>
      </w:r>
      <w:r w:rsidR="0088229B" w:rsidRPr="0021622B">
        <w:rPr>
          <w:rFonts w:asciiTheme="majorHAnsi" w:hAnsiTheme="majorHAnsi" w:cs="Arial"/>
        </w:rPr>
        <w:t>.</w:t>
      </w:r>
      <w:r w:rsidRPr="0021622B">
        <w:rPr>
          <w:rFonts w:asciiTheme="majorHAnsi" w:hAnsiTheme="majorHAnsi" w:cs="Arial"/>
        </w:rPr>
        <w:t xml:space="preserve"> </w:t>
      </w:r>
      <w:r w:rsidR="0088229B" w:rsidRPr="0021622B">
        <w:rPr>
          <w:rFonts w:asciiTheme="majorHAnsi" w:hAnsiTheme="majorHAnsi" w:cs="Arial"/>
        </w:rPr>
        <w:t>S</w:t>
      </w:r>
      <w:r w:rsidRPr="0021622B">
        <w:rPr>
          <w:rFonts w:asciiTheme="majorHAnsi" w:hAnsiTheme="majorHAnsi" w:cs="Arial"/>
        </w:rPr>
        <w:t xml:space="preserve">ua característica </w:t>
      </w:r>
      <w:r w:rsidRPr="0021622B">
        <w:rPr>
          <w:rFonts w:asciiTheme="majorHAnsi" w:hAnsiTheme="majorHAnsi" w:cs="Arial"/>
        </w:rPr>
        <w:lastRenderedPageBreak/>
        <w:t xml:space="preserve">funcional principal é que as ondas eletromagnéticas que atingirem sua superfície não devem retornar (refletir) em níveis significativos. Ou seja, as paredes devem absorver a maior parte da energia eletromagnética gerada por uma fonte, normalmente uma antena de emissão. A </w:t>
      </w:r>
      <w:r w:rsidR="0088229B" w:rsidRPr="0021622B">
        <w:rPr>
          <w:rFonts w:asciiTheme="majorHAnsi" w:hAnsiTheme="majorHAnsi" w:cs="Arial"/>
        </w:rPr>
        <w:fldChar w:fldCharType="begin"/>
      </w:r>
      <w:r w:rsidR="0088229B" w:rsidRPr="0021622B">
        <w:rPr>
          <w:rFonts w:asciiTheme="majorHAnsi" w:hAnsiTheme="majorHAnsi" w:cs="Arial"/>
        </w:rPr>
        <w:instrText xml:space="preserve"> REF _Ref477604685 \r \h </w:instrText>
      </w:r>
      <w:r w:rsidR="0021622B" w:rsidRPr="0021622B">
        <w:rPr>
          <w:rFonts w:asciiTheme="majorHAnsi" w:hAnsiTheme="majorHAnsi" w:cs="Arial"/>
        </w:rPr>
        <w:instrText xml:space="preserve"> \* MERGEFORMAT </w:instrText>
      </w:r>
      <w:r w:rsidR="0088229B" w:rsidRPr="0021622B">
        <w:rPr>
          <w:rFonts w:asciiTheme="majorHAnsi" w:hAnsiTheme="majorHAnsi" w:cs="Arial"/>
        </w:rPr>
      </w:r>
      <w:r w:rsidR="0088229B" w:rsidRPr="0021622B">
        <w:rPr>
          <w:rFonts w:asciiTheme="majorHAnsi" w:hAnsiTheme="majorHAnsi" w:cs="Arial"/>
        </w:rPr>
        <w:fldChar w:fldCharType="separate"/>
      </w:r>
      <w:r w:rsidR="00DA3A7D">
        <w:rPr>
          <w:rFonts w:asciiTheme="majorHAnsi" w:hAnsiTheme="majorHAnsi" w:cs="Arial"/>
        </w:rPr>
        <w:t>Figura 2</w:t>
      </w:r>
      <w:r w:rsidR="0088229B" w:rsidRPr="0021622B">
        <w:rPr>
          <w:rFonts w:asciiTheme="majorHAnsi" w:hAnsiTheme="majorHAnsi" w:cs="Arial"/>
        </w:rPr>
        <w:fldChar w:fldCharType="end"/>
      </w:r>
      <w:r w:rsidR="0088229B" w:rsidRPr="0021622B">
        <w:rPr>
          <w:rFonts w:asciiTheme="majorHAnsi" w:hAnsiTheme="majorHAnsi" w:cs="Arial"/>
        </w:rPr>
        <w:t xml:space="preserve"> </w:t>
      </w:r>
      <w:r w:rsidRPr="0021622B">
        <w:rPr>
          <w:rFonts w:asciiTheme="majorHAnsi" w:hAnsiTheme="majorHAnsi" w:cs="Arial"/>
        </w:rPr>
        <w:t>apresenta um desenho esquemático de como é feito o ensaio de compatibilidade eletromagnética em equipamentos eletromédicos.</w:t>
      </w:r>
    </w:p>
    <w:p w14:paraId="6AB93D9A" w14:textId="6B6C6534" w:rsidR="00F6351C" w:rsidRDefault="00F6351C" w:rsidP="00B125DD">
      <w:pPr>
        <w:pStyle w:val="FIGURA"/>
        <w:spacing w:after="160" w:line="360" w:lineRule="auto"/>
        <w:rPr>
          <w:rFonts w:asciiTheme="majorHAnsi" w:hAnsiTheme="majorHAnsi"/>
        </w:rPr>
      </w:pPr>
      <w:r w:rsidRPr="0021622B">
        <w:rPr>
          <w:rFonts w:asciiTheme="majorHAnsi" w:hAnsiTheme="majorHAnsi"/>
        </w:rPr>
        <w:t> </w:t>
      </w:r>
      <w:bookmarkStart w:id="66" w:name="_Ref477604685"/>
      <w:bookmarkStart w:id="67" w:name="_Toc478904196"/>
      <w:bookmarkStart w:id="68" w:name="_Toc478924524"/>
      <w:bookmarkStart w:id="69" w:name="_Toc478924561"/>
      <w:bookmarkStart w:id="70" w:name="_Toc478999525"/>
      <w:bookmarkStart w:id="71" w:name="_Toc479021569"/>
      <w:r w:rsidRPr="0021622B">
        <w:rPr>
          <w:rFonts w:asciiTheme="majorHAnsi" w:hAnsiTheme="majorHAnsi"/>
        </w:rPr>
        <w:t>Representação esquemática de uma câmara para ensaios de compatibilidade eletromagnética de equipamentos eletromédicos.</w:t>
      </w:r>
      <w:bookmarkEnd w:id="66"/>
      <w:bookmarkEnd w:id="67"/>
      <w:bookmarkEnd w:id="68"/>
      <w:bookmarkEnd w:id="69"/>
      <w:bookmarkEnd w:id="70"/>
      <w:bookmarkEnd w:id="71"/>
    </w:p>
    <w:p w14:paraId="74F1C82C" w14:textId="7A992CB4" w:rsidR="005E5411" w:rsidRPr="0021622B" w:rsidRDefault="005E5411" w:rsidP="005E5411">
      <w:pPr>
        <w:pStyle w:val="FIGURA"/>
        <w:numPr>
          <w:ilvl w:val="0"/>
          <w:numId w:val="0"/>
        </w:numPr>
        <w:spacing w:after="160" w:line="360" w:lineRule="auto"/>
        <w:ind w:firstLine="567"/>
        <w:rPr>
          <w:rFonts w:asciiTheme="majorHAnsi" w:hAnsiTheme="majorHAnsi"/>
        </w:rPr>
      </w:pPr>
      <w:r>
        <w:rPr>
          <w:noProof/>
          <w:lang w:eastAsia="pt-BR"/>
        </w:rPr>
        <w:drawing>
          <wp:inline distT="0" distB="0" distL="0" distR="0" wp14:anchorId="6154E4CF" wp14:editId="3D96387B">
            <wp:extent cx="4914900" cy="3686175"/>
            <wp:effectExtent l="0" t="0" r="0" b="9525"/>
            <wp:docPr id="11" name="Imagem 11" descr="http://prodsaude-entib.org.br/prodsaude/imagens/PS_60601_A03_1.2_PI_cam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rodsaude-entib.org.br/prodsaude/imagens/PS_60601_A03_1.2_PI_camar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14900" cy="3686175"/>
                    </a:xfrm>
                    <a:prstGeom prst="rect">
                      <a:avLst/>
                    </a:prstGeom>
                    <a:noFill/>
                    <a:ln>
                      <a:noFill/>
                    </a:ln>
                  </pic:spPr>
                </pic:pic>
              </a:graphicData>
            </a:graphic>
          </wp:inline>
        </w:drawing>
      </w:r>
    </w:p>
    <w:p w14:paraId="1EEB46C6" w14:textId="31A8D195" w:rsidR="008D62F5" w:rsidRPr="0021622B" w:rsidRDefault="008D62F5" w:rsidP="001803F7">
      <w:pPr>
        <w:keepNext/>
        <w:spacing w:after="0" w:line="240" w:lineRule="auto"/>
        <w:jc w:val="center"/>
        <w:rPr>
          <w:rFonts w:asciiTheme="majorHAnsi" w:hAnsiTheme="majorHAnsi" w:cs="Arial"/>
        </w:rPr>
      </w:pPr>
    </w:p>
    <w:p w14:paraId="18AADA2A" w14:textId="2CA1168B" w:rsidR="008F22FE" w:rsidRPr="0021622B" w:rsidRDefault="008F22FE" w:rsidP="00B125DD">
      <w:pPr>
        <w:spacing w:line="360" w:lineRule="auto"/>
        <w:jc w:val="both"/>
        <w:rPr>
          <w:rFonts w:asciiTheme="majorHAnsi" w:hAnsiTheme="majorHAnsi" w:cs="Arial"/>
        </w:rPr>
      </w:pPr>
      <w:r w:rsidRPr="0021622B">
        <w:rPr>
          <w:rFonts w:asciiTheme="majorHAnsi" w:hAnsiTheme="majorHAnsi" w:cs="Arial"/>
        </w:rPr>
        <w:t xml:space="preserve">Os ensaios são divididos em diferentes possíveis efeitos adversos nos equipamentos e suas partes e componentes. Devem ser ensaiados as portas (acessos) do gabinete, as fontes de tensão AC e DC, acesso de acoplamento ao paciente, portas (terminais) de entrada e saída de dados. Diferentes tipos de emissão eletromagnéticas são empregados para avaliar a imunidade a descargas eletrostáticas, campos de emissão de radiofrequência, proximidade de sistemas de comunicação sem fio e exposição a campos magnéticos. Para cada ambiente em que é previsto o equipamento ser utilizado, diferentes níveis de emissão eletromagnéticos devem ser gerados pela fonte. A </w:t>
      </w:r>
      <w:r w:rsidR="00F14E0F" w:rsidRPr="0021622B">
        <w:rPr>
          <w:rFonts w:asciiTheme="majorHAnsi" w:hAnsiTheme="majorHAnsi" w:cs="Arial"/>
        </w:rPr>
        <w:fldChar w:fldCharType="begin"/>
      </w:r>
      <w:r w:rsidR="00F14E0F" w:rsidRPr="0021622B">
        <w:rPr>
          <w:rFonts w:asciiTheme="majorHAnsi" w:hAnsiTheme="majorHAnsi" w:cs="Arial"/>
        </w:rPr>
        <w:instrText xml:space="preserve"> REF _Ref474927278 \r \h </w:instrText>
      </w:r>
      <w:r w:rsidR="0021622B" w:rsidRPr="0021622B">
        <w:rPr>
          <w:rFonts w:asciiTheme="majorHAnsi" w:hAnsiTheme="majorHAnsi" w:cs="Arial"/>
        </w:rPr>
        <w:instrText xml:space="preserve"> \* MERGEFORMAT </w:instrText>
      </w:r>
      <w:r w:rsidR="00F14E0F" w:rsidRPr="0021622B">
        <w:rPr>
          <w:rFonts w:asciiTheme="majorHAnsi" w:hAnsiTheme="majorHAnsi" w:cs="Arial"/>
        </w:rPr>
      </w:r>
      <w:r w:rsidR="00F14E0F" w:rsidRPr="0021622B">
        <w:rPr>
          <w:rFonts w:asciiTheme="majorHAnsi" w:hAnsiTheme="majorHAnsi" w:cs="Arial"/>
        </w:rPr>
        <w:fldChar w:fldCharType="separate"/>
      </w:r>
      <w:r w:rsidR="00DA3A7D">
        <w:rPr>
          <w:rFonts w:asciiTheme="majorHAnsi" w:hAnsiTheme="majorHAnsi" w:cs="Arial"/>
        </w:rPr>
        <w:t>Tabela 1</w:t>
      </w:r>
      <w:r w:rsidR="00F14E0F" w:rsidRPr="0021622B">
        <w:rPr>
          <w:rFonts w:asciiTheme="majorHAnsi" w:hAnsiTheme="majorHAnsi" w:cs="Arial"/>
        </w:rPr>
        <w:fldChar w:fldCharType="end"/>
      </w:r>
      <w:r w:rsidRPr="0021622B">
        <w:rPr>
          <w:rFonts w:asciiTheme="majorHAnsi" w:hAnsiTheme="majorHAnsi" w:cs="Arial"/>
        </w:rPr>
        <w:t xml:space="preserve"> apresenta um </w:t>
      </w:r>
      <w:r w:rsidR="00ED4076" w:rsidRPr="0021622B">
        <w:rPr>
          <w:rFonts w:asciiTheme="majorHAnsi" w:hAnsiTheme="majorHAnsi" w:cs="Arial"/>
        </w:rPr>
        <w:t xml:space="preserve">exemplo </w:t>
      </w:r>
      <w:r w:rsidRPr="0021622B">
        <w:rPr>
          <w:rFonts w:asciiTheme="majorHAnsi" w:hAnsiTheme="majorHAnsi" w:cs="Arial"/>
        </w:rPr>
        <w:t>destes níveis.</w:t>
      </w:r>
      <w:r w:rsidR="00297869" w:rsidRPr="0021622B">
        <w:rPr>
          <w:rFonts w:asciiTheme="majorHAnsi" w:hAnsiTheme="majorHAnsi" w:cs="Arial"/>
        </w:rPr>
        <w:t xml:space="preserve"> As normas de ensaio citadas são da série 61000 – </w:t>
      </w:r>
      <w:proofErr w:type="spellStart"/>
      <w:r w:rsidR="00297869" w:rsidRPr="0021622B">
        <w:rPr>
          <w:rFonts w:asciiTheme="majorHAnsi" w:hAnsiTheme="majorHAnsi" w:cs="Arial"/>
          <w:i/>
        </w:rPr>
        <w:t>Electromagnetic</w:t>
      </w:r>
      <w:proofErr w:type="spellEnd"/>
      <w:r w:rsidR="00297869" w:rsidRPr="0021622B">
        <w:rPr>
          <w:rFonts w:asciiTheme="majorHAnsi" w:hAnsiTheme="majorHAnsi" w:cs="Arial"/>
          <w:i/>
        </w:rPr>
        <w:t xml:space="preserve"> </w:t>
      </w:r>
      <w:proofErr w:type="spellStart"/>
      <w:r w:rsidR="00297869" w:rsidRPr="0021622B">
        <w:rPr>
          <w:rFonts w:asciiTheme="majorHAnsi" w:hAnsiTheme="majorHAnsi" w:cs="Arial"/>
          <w:i/>
        </w:rPr>
        <w:t>compatibility</w:t>
      </w:r>
      <w:proofErr w:type="spellEnd"/>
      <w:r w:rsidR="00297869" w:rsidRPr="0021622B">
        <w:rPr>
          <w:rFonts w:asciiTheme="majorHAnsi" w:hAnsiTheme="majorHAnsi" w:cs="Arial"/>
        </w:rPr>
        <w:t xml:space="preserve"> (EMC), ou seja, “compatibilidade eletromagnética”</w:t>
      </w:r>
      <w:r w:rsidR="00FE381B" w:rsidRPr="0021622B">
        <w:rPr>
          <w:rFonts w:asciiTheme="majorHAnsi" w:hAnsiTheme="majorHAnsi" w:cs="Arial"/>
        </w:rPr>
        <w:t xml:space="preserve"> (ver a </w:t>
      </w:r>
      <w:r w:rsidR="000B20D8" w:rsidRPr="0021622B">
        <w:rPr>
          <w:rFonts w:asciiTheme="majorHAnsi" w:hAnsiTheme="majorHAnsi" w:cs="Arial"/>
        </w:rPr>
        <w:fldChar w:fldCharType="begin"/>
      </w:r>
      <w:r w:rsidR="000B20D8" w:rsidRPr="0021622B">
        <w:rPr>
          <w:rFonts w:asciiTheme="majorHAnsi" w:hAnsiTheme="majorHAnsi" w:cs="Arial"/>
        </w:rPr>
        <w:instrText xml:space="preserve"> REF _Ref477604743 \r \h </w:instrText>
      </w:r>
      <w:r w:rsidR="0021622B" w:rsidRPr="0021622B">
        <w:rPr>
          <w:rFonts w:asciiTheme="majorHAnsi" w:hAnsiTheme="majorHAnsi" w:cs="Arial"/>
        </w:rPr>
        <w:instrText xml:space="preserve"> \* MERGEFORMAT </w:instrText>
      </w:r>
      <w:r w:rsidR="000B20D8" w:rsidRPr="0021622B">
        <w:rPr>
          <w:rFonts w:asciiTheme="majorHAnsi" w:hAnsiTheme="majorHAnsi" w:cs="Arial"/>
        </w:rPr>
      </w:r>
      <w:r w:rsidR="000B20D8" w:rsidRPr="0021622B">
        <w:rPr>
          <w:rFonts w:asciiTheme="majorHAnsi" w:hAnsiTheme="majorHAnsi" w:cs="Arial"/>
        </w:rPr>
        <w:fldChar w:fldCharType="separate"/>
      </w:r>
      <w:r w:rsidR="00DA3A7D">
        <w:rPr>
          <w:rFonts w:asciiTheme="majorHAnsi" w:hAnsiTheme="majorHAnsi" w:cs="Arial"/>
        </w:rPr>
        <w:t>Tabela 2</w:t>
      </w:r>
      <w:r w:rsidR="000B20D8" w:rsidRPr="0021622B">
        <w:rPr>
          <w:rFonts w:asciiTheme="majorHAnsi" w:hAnsiTheme="majorHAnsi" w:cs="Arial"/>
        </w:rPr>
        <w:fldChar w:fldCharType="end"/>
      </w:r>
      <w:r w:rsidR="00FE381B" w:rsidRPr="0021622B">
        <w:rPr>
          <w:rFonts w:asciiTheme="majorHAnsi" w:hAnsiTheme="majorHAnsi" w:cs="Arial"/>
        </w:rPr>
        <w:t>).</w:t>
      </w:r>
    </w:p>
    <w:p w14:paraId="07A070AB" w14:textId="51747F26" w:rsidR="008D7056" w:rsidRPr="0021622B" w:rsidRDefault="00642481" w:rsidP="00B125DD">
      <w:pPr>
        <w:spacing w:line="360" w:lineRule="auto"/>
        <w:jc w:val="both"/>
        <w:rPr>
          <w:rStyle w:val="TEXTO-SIMPLESChar"/>
          <w:rFonts w:asciiTheme="majorHAnsi" w:hAnsiTheme="majorHAnsi"/>
        </w:rPr>
      </w:pPr>
      <w:r w:rsidRPr="0021622B">
        <w:rPr>
          <w:rFonts w:asciiTheme="majorHAnsi" w:hAnsiTheme="majorHAnsi" w:cs="Arial"/>
        </w:rPr>
        <w:t xml:space="preserve">Apesar da série de normas 60601 ter sido elaborada para ser geral, abrangendo todas as variáveis possíveis para equipamentos eletromédicos, há certas particularidades que são definidas por regulamentos internos </w:t>
      </w:r>
      <w:r w:rsidRPr="0021622B">
        <w:rPr>
          <w:rFonts w:asciiTheme="majorHAnsi" w:hAnsiTheme="majorHAnsi" w:cs="Arial"/>
        </w:rPr>
        <w:lastRenderedPageBreak/>
        <w:t xml:space="preserve">dos países que a usam. Um exemplo bem ilustrativo destas diferenças é a oferta de energia elétrica, tanto em relação à tensão elétrica quanto em relação à frequência de oscilação da rede (corrente alternada – CA). No Brasil, a tensão pode ser 127 V ou 220 V, medidos em </w:t>
      </w:r>
      <w:proofErr w:type="spellStart"/>
      <w:r w:rsidRPr="0021622B">
        <w:rPr>
          <w:rFonts w:asciiTheme="majorHAnsi" w:hAnsiTheme="majorHAnsi" w:cs="Arial"/>
        </w:rPr>
        <w:t>rms</w:t>
      </w:r>
      <w:proofErr w:type="spellEnd"/>
      <w:r w:rsidRPr="0021622B">
        <w:rPr>
          <w:rFonts w:asciiTheme="majorHAnsi" w:hAnsiTheme="majorHAnsi" w:cs="Arial"/>
        </w:rPr>
        <w:t xml:space="preserve"> (</w:t>
      </w:r>
      <w:r w:rsidRPr="0021622B">
        <w:rPr>
          <w:rFonts w:asciiTheme="majorHAnsi" w:hAnsiTheme="majorHAnsi" w:cs="Arial"/>
          <w:i/>
        </w:rPr>
        <w:t xml:space="preserve">root </w:t>
      </w:r>
      <w:proofErr w:type="spellStart"/>
      <w:r w:rsidRPr="0021622B">
        <w:rPr>
          <w:rFonts w:asciiTheme="majorHAnsi" w:hAnsiTheme="majorHAnsi" w:cs="Arial"/>
          <w:i/>
        </w:rPr>
        <w:t>mean</w:t>
      </w:r>
      <w:proofErr w:type="spellEnd"/>
      <w:r w:rsidRPr="0021622B">
        <w:rPr>
          <w:rFonts w:asciiTheme="majorHAnsi" w:hAnsiTheme="majorHAnsi" w:cs="Arial"/>
          <w:i/>
        </w:rPr>
        <w:t xml:space="preserve"> </w:t>
      </w:r>
      <w:proofErr w:type="spellStart"/>
      <w:r w:rsidRPr="0021622B">
        <w:rPr>
          <w:rFonts w:asciiTheme="majorHAnsi" w:hAnsiTheme="majorHAnsi" w:cs="Arial"/>
          <w:i/>
        </w:rPr>
        <w:t>square</w:t>
      </w:r>
      <w:proofErr w:type="spellEnd"/>
      <w:r w:rsidRPr="0021622B">
        <w:rPr>
          <w:rFonts w:asciiTheme="majorHAnsi" w:hAnsiTheme="majorHAnsi" w:cs="Arial"/>
        </w:rPr>
        <w:t xml:space="preserve">, ou raiz quadrada da média quadrática) e </w:t>
      </w:r>
      <w:r w:rsidRPr="0021622B">
        <w:rPr>
          <w:rStyle w:val="TEXTO-SIMPLESChar"/>
          <w:rFonts w:asciiTheme="majorHAnsi" w:hAnsiTheme="majorHAnsi"/>
        </w:rPr>
        <w:t xml:space="preserve">frequência de 60 Hz. No Japão, a tensão é de 100 V </w:t>
      </w:r>
      <w:proofErr w:type="spellStart"/>
      <w:r w:rsidRPr="0021622B">
        <w:rPr>
          <w:rStyle w:val="TEXTO-SIMPLESChar"/>
          <w:rFonts w:asciiTheme="majorHAnsi" w:hAnsiTheme="majorHAnsi"/>
        </w:rPr>
        <w:t>rms</w:t>
      </w:r>
      <w:proofErr w:type="spellEnd"/>
      <w:r w:rsidRPr="0021622B">
        <w:rPr>
          <w:rStyle w:val="TEXTO-SIMPLESChar"/>
          <w:rFonts w:asciiTheme="majorHAnsi" w:hAnsiTheme="majorHAnsi"/>
        </w:rPr>
        <w:t xml:space="preserve">, mas a frequência da rede pode ser de 50 Hz ou 60 Hz, enquanto na Coréia do Sul é fornecida tensão de 220 V </w:t>
      </w:r>
      <w:proofErr w:type="spellStart"/>
      <w:r w:rsidRPr="0021622B">
        <w:rPr>
          <w:rStyle w:val="TEXTO-SIMPLESChar"/>
          <w:rFonts w:asciiTheme="majorHAnsi" w:hAnsiTheme="majorHAnsi"/>
        </w:rPr>
        <w:t>rms</w:t>
      </w:r>
      <w:proofErr w:type="spellEnd"/>
      <w:r w:rsidRPr="0021622B">
        <w:rPr>
          <w:rStyle w:val="TEXTO-SIMPLESChar"/>
          <w:rFonts w:asciiTheme="majorHAnsi" w:hAnsiTheme="majorHAnsi"/>
        </w:rPr>
        <w:t xml:space="preserve"> na frequência de 60 Hz</w:t>
      </w:r>
      <w:r w:rsidR="00FE381B" w:rsidRPr="0021622B">
        <w:rPr>
          <w:rStyle w:val="TEXTO-SIMPLESChar"/>
          <w:rFonts w:asciiTheme="majorHAnsi" w:hAnsiTheme="majorHAnsi"/>
        </w:rPr>
        <w:t xml:space="preserve">, </w:t>
      </w:r>
      <w:r w:rsidRPr="0021622B">
        <w:rPr>
          <w:rStyle w:val="TEXTO-SIMPLESChar"/>
          <w:rFonts w:asciiTheme="majorHAnsi" w:hAnsiTheme="majorHAnsi"/>
        </w:rPr>
        <w:t xml:space="preserve">nos Estados Unidos a tensão elétrica é de 120 V </w:t>
      </w:r>
      <w:proofErr w:type="spellStart"/>
      <w:r w:rsidRPr="0021622B">
        <w:rPr>
          <w:rStyle w:val="TEXTO-SIMPLESChar"/>
          <w:rFonts w:asciiTheme="majorHAnsi" w:hAnsiTheme="majorHAnsi"/>
        </w:rPr>
        <w:t>rms</w:t>
      </w:r>
      <w:proofErr w:type="spellEnd"/>
      <w:r w:rsidRPr="0021622B">
        <w:rPr>
          <w:rStyle w:val="TEXTO-SIMPLESChar"/>
          <w:rFonts w:asciiTheme="majorHAnsi" w:hAnsiTheme="majorHAnsi"/>
        </w:rPr>
        <w:t xml:space="preserve"> e frequência de 60 Hz</w:t>
      </w:r>
      <w:r w:rsidR="00FE381B" w:rsidRPr="0021622B">
        <w:rPr>
          <w:rStyle w:val="TEXTO-SIMPLESChar"/>
          <w:rFonts w:asciiTheme="majorHAnsi" w:hAnsiTheme="majorHAnsi"/>
        </w:rPr>
        <w:t xml:space="preserve"> e no Reino Unido (Inglaterra) a tensão é 230V </w:t>
      </w:r>
      <w:proofErr w:type="spellStart"/>
      <w:r w:rsidR="00FE381B" w:rsidRPr="0021622B">
        <w:rPr>
          <w:rStyle w:val="TEXTO-SIMPLESChar"/>
          <w:rFonts w:asciiTheme="majorHAnsi" w:hAnsiTheme="majorHAnsi"/>
        </w:rPr>
        <w:t>rms</w:t>
      </w:r>
      <w:proofErr w:type="spellEnd"/>
      <w:r w:rsidR="00FE381B" w:rsidRPr="0021622B">
        <w:rPr>
          <w:rStyle w:val="TEXTO-SIMPLESChar"/>
          <w:rFonts w:asciiTheme="majorHAnsi" w:hAnsiTheme="majorHAnsi"/>
        </w:rPr>
        <w:t xml:space="preserve"> e a frequência 50 Hz (</w:t>
      </w:r>
      <w:r w:rsidR="0088229B" w:rsidRPr="0021622B">
        <w:rPr>
          <w:rStyle w:val="TEXTO-SIMPLESChar"/>
          <w:rFonts w:asciiTheme="majorHAnsi" w:hAnsiTheme="majorHAnsi"/>
        </w:rPr>
        <w:t>Fonte</w:t>
      </w:r>
      <w:r w:rsidR="00FE381B" w:rsidRPr="0021622B">
        <w:rPr>
          <w:rStyle w:val="TEXTO-SIMPLESChar"/>
          <w:rFonts w:asciiTheme="majorHAnsi" w:hAnsiTheme="majorHAnsi"/>
        </w:rPr>
        <w:t xml:space="preserve">: </w:t>
      </w:r>
      <w:hyperlink r:id="rId15" w:history="1">
        <w:r w:rsidR="00FE381B" w:rsidRPr="00881D54">
          <w:rPr>
            <w:rStyle w:val="Hyperlink"/>
            <w:rFonts w:asciiTheme="majorHAnsi" w:hAnsiTheme="majorHAnsi" w:cs="Arial"/>
          </w:rPr>
          <w:t>https://en.wikipedia.org/wiki/Mains_electricity_by_country</w:t>
        </w:r>
      </w:hyperlink>
      <w:r w:rsidR="00FE381B" w:rsidRPr="0021622B">
        <w:rPr>
          <w:rStyle w:val="TEXTO-SIMPLESChar"/>
          <w:rFonts w:asciiTheme="majorHAnsi" w:hAnsiTheme="majorHAnsi"/>
        </w:rPr>
        <w:t>)</w:t>
      </w:r>
      <w:r w:rsidRPr="0021622B">
        <w:rPr>
          <w:rStyle w:val="TEXTO-SIMPLESChar"/>
          <w:rFonts w:asciiTheme="majorHAnsi" w:hAnsiTheme="majorHAnsi"/>
        </w:rPr>
        <w:t>.</w:t>
      </w:r>
      <w:r w:rsidR="00AD6BF9" w:rsidRPr="0021622B">
        <w:rPr>
          <w:rStyle w:val="TEXTO-SIMPLESChar"/>
          <w:rFonts w:asciiTheme="majorHAnsi" w:hAnsiTheme="majorHAnsi"/>
        </w:rPr>
        <w:t xml:space="preserve"> Todas estas (e outras) diferenças e peculiaridades devem ser consideradas no gerenciamento de risco, </w:t>
      </w:r>
      <w:r w:rsidR="0088229B" w:rsidRPr="0021622B">
        <w:rPr>
          <w:rStyle w:val="TEXTO-SIMPLESChar"/>
          <w:rFonts w:asciiTheme="majorHAnsi" w:hAnsiTheme="majorHAnsi"/>
        </w:rPr>
        <w:t>influenciando</w:t>
      </w:r>
      <w:r w:rsidR="00AD6BF9" w:rsidRPr="0021622B">
        <w:rPr>
          <w:rStyle w:val="TEXTO-SIMPLESChar"/>
          <w:rFonts w:asciiTheme="majorHAnsi" w:hAnsiTheme="majorHAnsi"/>
        </w:rPr>
        <w:t xml:space="preserve"> diretamente na programação dos ensaios de compatibilidade eletromagnética.</w:t>
      </w:r>
    </w:p>
    <w:p w14:paraId="6511EB41" w14:textId="57090DBD" w:rsidR="00F14E0F" w:rsidRDefault="00AB156A" w:rsidP="00B125DD">
      <w:pPr>
        <w:pStyle w:val="TABELA"/>
        <w:spacing w:after="160" w:line="360" w:lineRule="auto"/>
        <w:rPr>
          <w:rFonts w:asciiTheme="majorHAnsi" w:hAnsiTheme="majorHAnsi"/>
        </w:rPr>
      </w:pPr>
      <w:bookmarkStart w:id="72" w:name="_Ref474927278"/>
      <w:bookmarkStart w:id="73" w:name="_Toc478925082"/>
      <w:bookmarkStart w:id="74" w:name="_Toc478926426"/>
      <w:bookmarkStart w:id="75" w:name="_Toc478926438"/>
      <w:r w:rsidRPr="0021622B">
        <w:rPr>
          <w:rFonts w:asciiTheme="majorHAnsi" w:hAnsiTheme="majorHAnsi"/>
        </w:rPr>
        <w:t> </w:t>
      </w:r>
      <w:bookmarkStart w:id="76" w:name="_Toc478999599"/>
      <w:bookmarkStart w:id="77" w:name="_Toc479011585"/>
      <w:bookmarkStart w:id="78" w:name="_Toc479013821"/>
      <w:r w:rsidR="00F14E0F" w:rsidRPr="0021622B">
        <w:rPr>
          <w:rFonts w:asciiTheme="majorHAnsi" w:hAnsiTheme="majorHAnsi"/>
        </w:rPr>
        <w:t>Níveis de emissão eletromagnéticas para os testes de imunidade (</w:t>
      </w:r>
      <w:r w:rsidR="00ED4076" w:rsidRPr="0021622B">
        <w:rPr>
          <w:rFonts w:asciiTheme="majorHAnsi" w:hAnsiTheme="majorHAnsi"/>
        </w:rPr>
        <w:t>exemplo</w:t>
      </w:r>
      <w:r w:rsidR="00F14E0F" w:rsidRPr="0021622B">
        <w:rPr>
          <w:rFonts w:asciiTheme="majorHAnsi" w:hAnsiTheme="majorHAnsi"/>
        </w:rPr>
        <w:t>).</w:t>
      </w:r>
      <w:bookmarkEnd w:id="72"/>
      <w:bookmarkEnd w:id="73"/>
      <w:bookmarkEnd w:id="74"/>
      <w:bookmarkEnd w:id="75"/>
      <w:bookmarkEnd w:id="76"/>
      <w:bookmarkEnd w:id="77"/>
      <w:bookmarkEnd w:id="78"/>
    </w:p>
    <w:tbl>
      <w:tblPr>
        <w:tblW w:w="8925" w:type="dxa"/>
        <w:jc w:val="center"/>
        <w:tblBorders>
          <w:top w:val="single" w:sz="6" w:space="0" w:color="095F66"/>
          <w:left w:val="single" w:sz="6" w:space="0" w:color="095F66"/>
          <w:bottom w:val="single" w:sz="6" w:space="0" w:color="095F66"/>
          <w:right w:val="single" w:sz="6" w:space="0" w:color="095F66"/>
        </w:tblBorders>
        <w:shd w:val="clear" w:color="auto" w:fill="FFFFFF"/>
        <w:tblCellMar>
          <w:top w:w="45" w:type="dxa"/>
          <w:left w:w="45" w:type="dxa"/>
          <w:bottom w:w="45" w:type="dxa"/>
          <w:right w:w="45" w:type="dxa"/>
        </w:tblCellMar>
        <w:tblLook w:val="04A0" w:firstRow="1" w:lastRow="0" w:firstColumn="1" w:lastColumn="0" w:noHBand="0" w:noVBand="1"/>
      </w:tblPr>
      <w:tblGrid>
        <w:gridCol w:w="1588"/>
        <w:gridCol w:w="2799"/>
        <w:gridCol w:w="1675"/>
        <w:gridCol w:w="1409"/>
        <w:gridCol w:w="1454"/>
      </w:tblGrid>
      <w:tr w:rsidR="00DB538B" w:rsidRPr="00DB538B" w14:paraId="44EDFA3E" w14:textId="77777777" w:rsidTr="00DB538B">
        <w:trPr>
          <w:jc w:val="center"/>
        </w:trPr>
        <w:tc>
          <w:tcPr>
            <w:tcW w:w="0" w:type="auto"/>
            <w:vMerge w:val="restart"/>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009610D0" w14:textId="77777777" w:rsidR="00DB538B" w:rsidRPr="00DB538B" w:rsidRDefault="00DB538B" w:rsidP="00DB538B">
            <w:pPr>
              <w:spacing w:after="150" w:line="240" w:lineRule="auto"/>
              <w:jc w:val="center"/>
              <w:rPr>
                <w:rFonts w:asciiTheme="majorHAnsi" w:eastAsia="Times New Roman" w:hAnsiTheme="majorHAnsi" w:cs="Times New Roman"/>
                <w:color w:val="666666"/>
                <w:lang w:eastAsia="pt-BR"/>
              </w:rPr>
            </w:pPr>
            <w:r w:rsidRPr="00DB538B">
              <w:rPr>
                <w:rFonts w:asciiTheme="majorHAnsi" w:eastAsia="Times New Roman" w:hAnsiTheme="majorHAnsi" w:cs="Times New Roman"/>
                <w:b/>
                <w:bCs/>
                <w:color w:val="FFFFFF"/>
                <w:lang w:eastAsia="pt-BR"/>
              </w:rPr>
              <w:t>Parte do equipamento eletromédico</w:t>
            </w:r>
          </w:p>
        </w:tc>
        <w:tc>
          <w:tcPr>
            <w:tcW w:w="0" w:type="auto"/>
            <w:vMerge w:val="restart"/>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180FB1BD" w14:textId="77777777" w:rsidR="00DB538B" w:rsidRPr="00DB538B" w:rsidRDefault="00DB538B" w:rsidP="00DB538B">
            <w:pPr>
              <w:spacing w:after="150" w:line="240" w:lineRule="auto"/>
              <w:jc w:val="center"/>
              <w:rPr>
                <w:rFonts w:asciiTheme="majorHAnsi" w:eastAsia="Times New Roman" w:hAnsiTheme="majorHAnsi" w:cs="Times New Roman"/>
                <w:color w:val="666666"/>
                <w:lang w:eastAsia="pt-BR"/>
              </w:rPr>
            </w:pPr>
            <w:r w:rsidRPr="00DB538B">
              <w:rPr>
                <w:rFonts w:asciiTheme="majorHAnsi" w:eastAsia="Times New Roman" w:hAnsiTheme="majorHAnsi" w:cs="Times New Roman"/>
                <w:b/>
                <w:bCs/>
                <w:color w:val="FFFFFF"/>
                <w:lang w:eastAsia="pt-BR"/>
              </w:rPr>
              <w:t>Tipo de emissão</w:t>
            </w:r>
          </w:p>
        </w:tc>
        <w:tc>
          <w:tcPr>
            <w:tcW w:w="0" w:type="auto"/>
            <w:vMerge w:val="restart"/>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2D225FA7" w14:textId="77777777" w:rsidR="00DB538B" w:rsidRPr="00DB538B" w:rsidRDefault="00DB538B" w:rsidP="00DB538B">
            <w:pPr>
              <w:spacing w:after="150" w:line="240" w:lineRule="auto"/>
              <w:jc w:val="center"/>
              <w:rPr>
                <w:rFonts w:asciiTheme="majorHAnsi" w:eastAsia="Times New Roman" w:hAnsiTheme="majorHAnsi" w:cs="Times New Roman"/>
                <w:color w:val="666666"/>
                <w:lang w:eastAsia="pt-BR"/>
              </w:rPr>
            </w:pPr>
            <w:r w:rsidRPr="00DB538B">
              <w:rPr>
                <w:rFonts w:asciiTheme="majorHAnsi" w:eastAsia="Times New Roman" w:hAnsiTheme="majorHAnsi" w:cs="Times New Roman"/>
                <w:b/>
                <w:bCs/>
                <w:color w:val="FFFFFF"/>
                <w:lang w:eastAsia="pt-BR"/>
              </w:rPr>
              <w:t>Norma de ensaio</w:t>
            </w:r>
          </w:p>
        </w:tc>
        <w:tc>
          <w:tcPr>
            <w:tcW w:w="2865" w:type="dxa"/>
            <w:gridSpan w:val="2"/>
            <w:tcBorders>
              <w:top w:val="single" w:sz="6" w:space="0" w:color="52A5AE"/>
              <w:left w:val="single" w:sz="6" w:space="0" w:color="52A5AE"/>
              <w:bottom w:val="single" w:sz="6" w:space="0" w:color="52A5AE"/>
              <w:right w:val="single" w:sz="6" w:space="0" w:color="52A5AE"/>
            </w:tcBorders>
            <w:shd w:val="clear" w:color="auto" w:fill="095F66"/>
            <w:vAlign w:val="center"/>
            <w:hideMark/>
          </w:tcPr>
          <w:p w14:paraId="1ABC4D4B" w14:textId="77777777" w:rsidR="00DB538B" w:rsidRPr="00DB538B" w:rsidRDefault="00DB538B" w:rsidP="00DB538B">
            <w:pPr>
              <w:spacing w:after="150" w:line="240" w:lineRule="auto"/>
              <w:jc w:val="center"/>
              <w:rPr>
                <w:rFonts w:asciiTheme="majorHAnsi" w:eastAsia="Times New Roman" w:hAnsiTheme="majorHAnsi" w:cs="Times New Roman"/>
                <w:color w:val="666666"/>
                <w:lang w:eastAsia="pt-BR"/>
              </w:rPr>
            </w:pPr>
            <w:r w:rsidRPr="00DB538B">
              <w:rPr>
                <w:rFonts w:asciiTheme="majorHAnsi" w:eastAsia="Times New Roman" w:hAnsiTheme="majorHAnsi" w:cs="Times New Roman"/>
                <w:b/>
                <w:bCs/>
                <w:color w:val="FFFFFF"/>
                <w:lang w:eastAsia="pt-BR"/>
              </w:rPr>
              <w:t>Limite para o ensaio de imunidade</w:t>
            </w:r>
          </w:p>
        </w:tc>
      </w:tr>
      <w:tr w:rsidR="00DB538B" w:rsidRPr="00DB538B" w14:paraId="1B607947" w14:textId="77777777" w:rsidTr="00DB538B">
        <w:trPr>
          <w:jc w:val="center"/>
        </w:trPr>
        <w:tc>
          <w:tcPr>
            <w:tcW w:w="0" w:type="auto"/>
            <w:vMerge/>
            <w:tcBorders>
              <w:top w:val="single" w:sz="6" w:space="0" w:color="52A5AE"/>
              <w:left w:val="single" w:sz="6" w:space="0" w:color="52A5AE"/>
              <w:bottom w:val="single" w:sz="6" w:space="0" w:color="52A5AE"/>
              <w:right w:val="single" w:sz="6" w:space="0" w:color="52A5AE"/>
            </w:tcBorders>
            <w:shd w:val="clear" w:color="auto" w:fill="FFFFFF"/>
            <w:vAlign w:val="center"/>
            <w:hideMark/>
          </w:tcPr>
          <w:p w14:paraId="78A6035C" w14:textId="77777777" w:rsidR="00DB538B" w:rsidRPr="00DB538B" w:rsidRDefault="00DB538B" w:rsidP="00DB538B">
            <w:pPr>
              <w:spacing w:after="0" w:line="240" w:lineRule="auto"/>
              <w:rPr>
                <w:rFonts w:asciiTheme="majorHAnsi" w:eastAsia="Times New Roman" w:hAnsiTheme="majorHAnsi" w:cs="Times New Roman"/>
                <w:color w:val="666666"/>
                <w:lang w:eastAsia="pt-BR"/>
              </w:rPr>
            </w:pPr>
          </w:p>
        </w:tc>
        <w:tc>
          <w:tcPr>
            <w:tcW w:w="0" w:type="auto"/>
            <w:vMerge/>
            <w:tcBorders>
              <w:top w:val="single" w:sz="6" w:space="0" w:color="52A5AE"/>
              <w:left w:val="single" w:sz="6" w:space="0" w:color="52A5AE"/>
              <w:bottom w:val="single" w:sz="6" w:space="0" w:color="52A5AE"/>
              <w:right w:val="single" w:sz="6" w:space="0" w:color="52A5AE"/>
            </w:tcBorders>
            <w:shd w:val="clear" w:color="auto" w:fill="FFFFFF"/>
            <w:vAlign w:val="center"/>
            <w:hideMark/>
          </w:tcPr>
          <w:p w14:paraId="13DBD90F" w14:textId="77777777" w:rsidR="00DB538B" w:rsidRPr="00DB538B" w:rsidRDefault="00DB538B" w:rsidP="00DB538B">
            <w:pPr>
              <w:spacing w:after="0" w:line="240" w:lineRule="auto"/>
              <w:rPr>
                <w:rFonts w:asciiTheme="majorHAnsi" w:eastAsia="Times New Roman" w:hAnsiTheme="majorHAnsi" w:cs="Times New Roman"/>
                <w:color w:val="666666"/>
                <w:lang w:eastAsia="pt-BR"/>
              </w:rPr>
            </w:pPr>
          </w:p>
        </w:tc>
        <w:tc>
          <w:tcPr>
            <w:tcW w:w="0" w:type="auto"/>
            <w:vMerge/>
            <w:tcBorders>
              <w:top w:val="single" w:sz="6" w:space="0" w:color="52A5AE"/>
              <w:left w:val="single" w:sz="6" w:space="0" w:color="52A5AE"/>
              <w:bottom w:val="single" w:sz="6" w:space="0" w:color="52A5AE"/>
              <w:right w:val="single" w:sz="6" w:space="0" w:color="52A5AE"/>
            </w:tcBorders>
            <w:shd w:val="clear" w:color="auto" w:fill="FFFFFF"/>
            <w:vAlign w:val="center"/>
            <w:hideMark/>
          </w:tcPr>
          <w:p w14:paraId="7422D901" w14:textId="77777777" w:rsidR="00DB538B" w:rsidRPr="00DB538B" w:rsidRDefault="00DB538B" w:rsidP="00DB538B">
            <w:pPr>
              <w:spacing w:after="0" w:line="240" w:lineRule="auto"/>
              <w:rPr>
                <w:rFonts w:asciiTheme="majorHAnsi" w:eastAsia="Times New Roman" w:hAnsiTheme="majorHAnsi" w:cs="Times New Roman"/>
                <w:color w:val="666666"/>
                <w:lang w:eastAsia="pt-BR"/>
              </w:rPr>
            </w:pP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14:paraId="77EC0348"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Ambiente Profissional</w:t>
            </w:r>
          </w:p>
        </w:tc>
        <w:tc>
          <w:tcPr>
            <w:tcW w:w="0" w:type="auto"/>
            <w:tcBorders>
              <w:top w:val="outset" w:sz="6" w:space="0" w:color="auto"/>
              <w:left w:val="outset" w:sz="6" w:space="0" w:color="auto"/>
              <w:bottom w:val="outset" w:sz="6" w:space="0" w:color="auto"/>
              <w:right w:val="outset" w:sz="6" w:space="0" w:color="auto"/>
            </w:tcBorders>
            <w:shd w:val="clear" w:color="auto" w:fill="EEEEEE"/>
            <w:vAlign w:val="center"/>
            <w:hideMark/>
          </w:tcPr>
          <w:p w14:paraId="3446CE2E"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Atendimento domiciliar</w:t>
            </w:r>
          </w:p>
        </w:tc>
      </w:tr>
      <w:tr w:rsidR="00DB538B" w:rsidRPr="00DB538B" w14:paraId="58B3E1F1" w14:textId="77777777" w:rsidTr="00DB538B">
        <w:trPr>
          <w:jc w:val="center"/>
        </w:trPr>
        <w:tc>
          <w:tcPr>
            <w:tcW w:w="1590" w:type="dxa"/>
            <w:vMerge w:val="restart"/>
            <w:tcBorders>
              <w:top w:val="outset" w:sz="6" w:space="0" w:color="auto"/>
              <w:left w:val="outset" w:sz="6" w:space="0" w:color="auto"/>
              <w:bottom w:val="outset" w:sz="6" w:space="0" w:color="auto"/>
              <w:right w:val="outset" w:sz="6" w:space="0" w:color="auto"/>
            </w:tcBorders>
            <w:shd w:val="clear" w:color="auto" w:fill="FFFFFF"/>
            <w:vAlign w:val="center"/>
            <w:hideMark/>
          </w:tcPr>
          <w:p w14:paraId="5F1965F8"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Porta do gabinete</w:t>
            </w:r>
          </w:p>
        </w:tc>
        <w:tc>
          <w:tcPr>
            <w:tcW w:w="2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69B861"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Descarga eletrostática</w:t>
            </w:r>
          </w:p>
        </w:tc>
        <w:tc>
          <w:tcPr>
            <w:tcW w:w="16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3408C"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IEC 61000-4-2</w:t>
            </w:r>
          </w:p>
        </w:tc>
        <w:tc>
          <w:tcPr>
            <w:tcW w:w="2865" w:type="dxa"/>
            <w:gridSpan w:val="2"/>
            <w:tcBorders>
              <w:top w:val="outset" w:sz="6" w:space="0" w:color="auto"/>
              <w:left w:val="outset" w:sz="6" w:space="0" w:color="auto"/>
              <w:bottom w:val="outset" w:sz="6" w:space="0" w:color="auto"/>
              <w:right w:val="outset" w:sz="6" w:space="0" w:color="auto"/>
            </w:tcBorders>
            <w:shd w:val="clear" w:color="auto" w:fill="FFFFFF"/>
            <w:vAlign w:val="center"/>
            <w:hideMark/>
          </w:tcPr>
          <w:p w14:paraId="7960167E"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Contato: ± 8 kV</w:t>
            </w:r>
          </w:p>
          <w:p w14:paraId="764BE598"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No ar: ± 2 kV, ± 4 kV, ± 8 kV, ± 15 kV</w:t>
            </w:r>
          </w:p>
        </w:tc>
      </w:tr>
      <w:tr w:rsidR="00DB538B" w:rsidRPr="00DB538B" w14:paraId="409381EC" w14:textId="77777777" w:rsidTr="00DB538B">
        <w:trPr>
          <w:jc w:val="center"/>
        </w:trPr>
        <w:tc>
          <w:tcPr>
            <w:tcW w:w="0" w:type="auto"/>
            <w:vMerge/>
            <w:tcBorders>
              <w:top w:val="outset" w:sz="6" w:space="0" w:color="auto"/>
              <w:left w:val="outset" w:sz="6" w:space="0" w:color="auto"/>
              <w:bottom w:val="outset" w:sz="6" w:space="0" w:color="auto"/>
              <w:right w:val="outset" w:sz="6" w:space="0" w:color="auto"/>
            </w:tcBorders>
            <w:shd w:val="clear" w:color="auto" w:fill="FFFFFF"/>
            <w:vAlign w:val="center"/>
            <w:hideMark/>
          </w:tcPr>
          <w:p w14:paraId="07EFBFC8" w14:textId="77777777" w:rsidR="00DB538B" w:rsidRPr="00DB538B" w:rsidRDefault="00DB538B" w:rsidP="00DB538B">
            <w:pPr>
              <w:spacing w:after="0" w:line="240" w:lineRule="auto"/>
              <w:rPr>
                <w:rFonts w:asciiTheme="majorHAnsi" w:eastAsia="Times New Roman" w:hAnsiTheme="majorHAnsi" w:cs="Times New Roman"/>
                <w:lang w:eastAsia="pt-BR"/>
              </w:rPr>
            </w:pPr>
          </w:p>
        </w:tc>
        <w:tc>
          <w:tcPr>
            <w:tcW w:w="280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39D1E58"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Irradiação de radiofrequência</w:t>
            </w:r>
          </w:p>
        </w:tc>
        <w:tc>
          <w:tcPr>
            <w:tcW w:w="168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DA1E2C6"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IEC 61000-4-3</w:t>
            </w:r>
          </w:p>
        </w:tc>
        <w:tc>
          <w:tcPr>
            <w:tcW w:w="1410"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6858060"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3 V×m</w:t>
            </w:r>
            <w:r w:rsidRPr="00DB538B">
              <w:rPr>
                <w:rFonts w:asciiTheme="majorHAnsi" w:eastAsia="Times New Roman" w:hAnsiTheme="majorHAnsi" w:cs="Times New Roman"/>
                <w:vertAlign w:val="superscript"/>
                <w:lang w:eastAsia="pt-BR"/>
              </w:rPr>
              <w:t>-1</w:t>
            </w:r>
          </w:p>
          <w:p w14:paraId="1A9AB06E"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80 MHz a 2,7 GHz</w:t>
            </w:r>
          </w:p>
        </w:tc>
        <w:tc>
          <w:tcPr>
            <w:tcW w:w="1455"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B6F1F5D"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10 V×m</w:t>
            </w:r>
            <w:r w:rsidRPr="00DB538B">
              <w:rPr>
                <w:rFonts w:asciiTheme="majorHAnsi" w:eastAsia="Times New Roman" w:hAnsiTheme="majorHAnsi" w:cs="Times New Roman"/>
                <w:vertAlign w:val="superscript"/>
                <w:lang w:eastAsia="pt-BR"/>
              </w:rPr>
              <w:t>-1</w:t>
            </w:r>
          </w:p>
          <w:p w14:paraId="3112FD7D"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80 MHz a 2,7 GHz</w:t>
            </w:r>
          </w:p>
        </w:tc>
      </w:tr>
    </w:tbl>
    <w:p w14:paraId="26EDB485" w14:textId="4A827801" w:rsidR="00154FD3" w:rsidRDefault="00154FD3" w:rsidP="00DB538B">
      <w:pPr>
        <w:spacing w:after="240" w:line="240" w:lineRule="auto"/>
        <w:jc w:val="center"/>
        <w:rPr>
          <w:rFonts w:asciiTheme="majorHAnsi" w:hAnsiTheme="majorHAnsi" w:cs="Arial"/>
        </w:rPr>
      </w:pPr>
      <w:bookmarkStart w:id="79" w:name="_Ref475111709"/>
      <w:r w:rsidRPr="0021622B">
        <w:rPr>
          <w:rFonts w:asciiTheme="majorHAnsi" w:hAnsiTheme="majorHAnsi" w:cs="Arial"/>
          <w:b/>
        </w:rPr>
        <w:t>Fonte:</w:t>
      </w:r>
      <w:r w:rsidRPr="0021622B">
        <w:rPr>
          <w:rFonts w:asciiTheme="majorHAnsi" w:hAnsiTheme="majorHAnsi" w:cs="Arial"/>
        </w:rPr>
        <w:t xml:space="preserve"> elaboração própria com base nas informações disponíveis na IEC 60601-2-2.</w:t>
      </w:r>
    </w:p>
    <w:p w14:paraId="695D57B5" w14:textId="77777777" w:rsidR="00DB538B" w:rsidRPr="0021622B" w:rsidRDefault="00DB538B" w:rsidP="00DB538B">
      <w:pPr>
        <w:spacing w:after="240" w:line="240" w:lineRule="auto"/>
        <w:jc w:val="center"/>
        <w:rPr>
          <w:rFonts w:asciiTheme="majorHAnsi" w:hAnsiTheme="majorHAnsi" w:cs="Arial"/>
        </w:rPr>
      </w:pPr>
    </w:p>
    <w:p w14:paraId="578A48CC" w14:textId="43A5C97C" w:rsidR="00DB538B" w:rsidRPr="00DB538B" w:rsidRDefault="00AB156A" w:rsidP="00DB538B">
      <w:pPr>
        <w:pStyle w:val="TABELA"/>
        <w:rPr>
          <w:rFonts w:asciiTheme="majorHAnsi" w:hAnsiTheme="majorHAnsi"/>
        </w:rPr>
      </w:pPr>
      <w:bookmarkStart w:id="80" w:name="_Ref477604743"/>
      <w:bookmarkStart w:id="81" w:name="_Toc478925083"/>
      <w:bookmarkStart w:id="82" w:name="_Toc478926427"/>
      <w:bookmarkStart w:id="83" w:name="_Toc478926439"/>
      <w:r w:rsidRPr="0021622B">
        <w:rPr>
          <w:rFonts w:asciiTheme="majorHAnsi" w:hAnsiTheme="majorHAnsi"/>
        </w:rPr>
        <w:t> </w:t>
      </w:r>
      <w:bookmarkStart w:id="84" w:name="_Toc478999600"/>
      <w:bookmarkStart w:id="85" w:name="_Toc479011586"/>
      <w:bookmarkStart w:id="86" w:name="_Toc479013822"/>
      <w:r w:rsidR="00FE381B" w:rsidRPr="0021622B">
        <w:rPr>
          <w:rFonts w:asciiTheme="majorHAnsi" w:hAnsiTheme="majorHAnsi"/>
        </w:rPr>
        <w:t>Normas de ensaio de imunidade para compatibilidade eletromagnética.</w:t>
      </w:r>
      <w:bookmarkStart w:id="87" w:name="_Toc475089824"/>
      <w:bookmarkStart w:id="88" w:name="_Toc475089949"/>
      <w:bookmarkStart w:id="89" w:name="_Toc475090191"/>
      <w:bookmarkEnd w:id="79"/>
      <w:bookmarkEnd w:id="80"/>
      <w:bookmarkEnd w:id="81"/>
      <w:bookmarkEnd w:id="82"/>
      <w:bookmarkEnd w:id="83"/>
      <w:bookmarkEnd w:id="84"/>
      <w:bookmarkEnd w:id="85"/>
      <w:bookmarkEnd w:id="86"/>
    </w:p>
    <w:tbl>
      <w:tblPr>
        <w:tblW w:w="8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884"/>
        <w:gridCol w:w="6330"/>
      </w:tblGrid>
      <w:tr w:rsidR="00DB538B" w:rsidRPr="00DB538B" w14:paraId="319C423E" w14:textId="77777777" w:rsidTr="00DB538B">
        <w:trPr>
          <w:jc w:val="center"/>
        </w:trPr>
        <w:tc>
          <w:tcPr>
            <w:tcW w:w="1884" w:type="dxa"/>
            <w:shd w:val="clear" w:color="auto" w:fill="095F66"/>
            <w:vAlign w:val="center"/>
            <w:hideMark/>
          </w:tcPr>
          <w:p w14:paraId="05159FEC" w14:textId="083E851C" w:rsidR="00DB538B" w:rsidRPr="00DB538B" w:rsidRDefault="00DB538B" w:rsidP="00DB538B">
            <w:pPr>
              <w:spacing w:after="150" w:line="240" w:lineRule="auto"/>
              <w:jc w:val="center"/>
              <w:rPr>
                <w:rFonts w:asciiTheme="majorHAnsi" w:eastAsia="Times New Roman" w:hAnsiTheme="majorHAnsi" w:cs="Times New Roman"/>
                <w:color w:val="666666"/>
                <w:lang w:eastAsia="pt-BR"/>
              </w:rPr>
            </w:pPr>
            <w:r>
              <w:rPr>
                <w:rFonts w:asciiTheme="majorHAnsi" w:eastAsia="Times New Roman" w:hAnsiTheme="majorHAnsi" w:cs="Times New Roman"/>
                <w:b/>
                <w:bCs/>
                <w:color w:val="FFFFFF"/>
                <w:lang w:eastAsia="pt-BR"/>
              </w:rPr>
              <w:t>Número</w:t>
            </w:r>
          </w:p>
        </w:tc>
        <w:tc>
          <w:tcPr>
            <w:tcW w:w="6330" w:type="dxa"/>
            <w:shd w:val="clear" w:color="auto" w:fill="095F66"/>
            <w:vAlign w:val="center"/>
            <w:hideMark/>
          </w:tcPr>
          <w:p w14:paraId="29A4C813" w14:textId="5176D9FB" w:rsidR="00DB538B" w:rsidRPr="00DB538B" w:rsidRDefault="00DB538B" w:rsidP="00DB538B">
            <w:pPr>
              <w:spacing w:after="0" w:line="240" w:lineRule="auto"/>
              <w:jc w:val="center"/>
              <w:rPr>
                <w:rFonts w:asciiTheme="majorHAnsi" w:eastAsia="Times New Roman" w:hAnsiTheme="majorHAnsi" w:cs="Times New Roman"/>
                <w:color w:val="666666"/>
                <w:lang w:eastAsia="pt-BR"/>
              </w:rPr>
            </w:pPr>
            <w:r>
              <w:rPr>
                <w:rFonts w:asciiTheme="majorHAnsi" w:eastAsia="Times New Roman" w:hAnsiTheme="majorHAnsi" w:cs="Times New Roman"/>
                <w:b/>
                <w:bCs/>
                <w:color w:val="FFFFFF"/>
                <w:lang w:eastAsia="pt-BR"/>
              </w:rPr>
              <w:t>Título</w:t>
            </w:r>
          </w:p>
        </w:tc>
      </w:tr>
      <w:tr w:rsidR="00DB538B" w:rsidRPr="00457F93" w14:paraId="713EFF01" w14:textId="77777777" w:rsidTr="00DB538B">
        <w:trPr>
          <w:jc w:val="center"/>
        </w:trPr>
        <w:tc>
          <w:tcPr>
            <w:tcW w:w="1884" w:type="dxa"/>
            <w:shd w:val="clear" w:color="auto" w:fill="FFFFFF"/>
            <w:vAlign w:val="center"/>
            <w:hideMark/>
          </w:tcPr>
          <w:p w14:paraId="52A606FC"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61000-4-X</w:t>
            </w:r>
          </w:p>
        </w:tc>
        <w:tc>
          <w:tcPr>
            <w:tcW w:w="6330" w:type="dxa"/>
            <w:shd w:val="clear" w:color="auto" w:fill="FFFFFF"/>
            <w:vAlign w:val="center"/>
            <w:hideMark/>
          </w:tcPr>
          <w:p w14:paraId="4666CFCE" w14:textId="77777777" w:rsidR="00DB538B" w:rsidRPr="00DB538B" w:rsidRDefault="00DB538B" w:rsidP="00DB538B">
            <w:pPr>
              <w:spacing w:after="15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Electromagnetic compatibility (EMC) – Part 4-</w:t>
            </w:r>
            <w:r w:rsidRPr="00DB538B">
              <w:rPr>
                <w:rFonts w:asciiTheme="majorHAnsi" w:eastAsia="Times New Roman" w:hAnsiTheme="majorHAnsi" w:cs="Times New Roman"/>
                <w:b/>
                <w:bCs/>
                <w:lang w:val="en-US" w:eastAsia="pt-BR"/>
              </w:rPr>
              <w:t>X</w:t>
            </w:r>
            <w:r w:rsidRPr="00DB538B">
              <w:rPr>
                <w:rFonts w:asciiTheme="majorHAnsi" w:eastAsia="Times New Roman" w:hAnsiTheme="majorHAnsi" w:cs="Times New Roman"/>
                <w:lang w:val="en-US" w:eastAsia="pt-BR"/>
              </w:rPr>
              <w:t>: Testing and measurement techniques</w:t>
            </w:r>
          </w:p>
        </w:tc>
      </w:tr>
      <w:tr w:rsidR="00DB538B" w:rsidRPr="00DB538B" w14:paraId="6306D24A" w14:textId="77777777" w:rsidTr="00DB538B">
        <w:trPr>
          <w:jc w:val="center"/>
        </w:trPr>
        <w:tc>
          <w:tcPr>
            <w:tcW w:w="1884" w:type="dxa"/>
            <w:shd w:val="clear" w:color="auto" w:fill="FFFFFF"/>
            <w:vAlign w:val="center"/>
            <w:hideMark/>
          </w:tcPr>
          <w:p w14:paraId="18C9BC28" w14:textId="77777777" w:rsidR="00DB538B" w:rsidRPr="00DB538B" w:rsidRDefault="00DB538B" w:rsidP="00DB538B">
            <w:pPr>
              <w:spacing w:after="15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61000-4-2</w:t>
            </w:r>
          </w:p>
        </w:tc>
        <w:tc>
          <w:tcPr>
            <w:tcW w:w="6330" w:type="dxa"/>
            <w:shd w:val="clear" w:color="auto" w:fill="FFFFFF"/>
            <w:vAlign w:val="center"/>
            <w:hideMark/>
          </w:tcPr>
          <w:p w14:paraId="0E440880" w14:textId="77777777" w:rsidR="00DB538B" w:rsidRPr="00DB538B" w:rsidRDefault="00DB538B" w:rsidP="00DB538B">
            <w:pPr>
              <w:spacing w:after="150" w:line="240" w:lineRule="auto"/>
              <w:rPr>
                <w:rFonts w:asciiTheme="majorHAnsi" w:eastAsia="Times New Roman" w:hAnsiTheme="majorHAnsi" w:cs="Times New Roman"/>
                <w:lang w:eastAsia="pt-BR"/>
              </w:rPr>
            </w:pPr>
            <w:proofErr w:type="spellStart"/>
            <w:r w:rsidRPr="00DB538B">
              <w:rPr>
                <w:rFonts w:asciiTheme="majorHAnsi" w:eastAsia="Times New Roman" w:hAnsiTheme="majorHAnsi" w:cs="Times New Roman"/>
                <w:lang w:eastAsia="pt-BR"/>
              </w:rPr>
              <w:t>Electrostatic</w:t>
            </w:r>
            <w:proofErr w:type="spellEnd"/>
            <w:r w:rsidRPr="00DB538B">
              <w:rPr>
                <w:rFonts w:asciiTheme="majorHAnsi" w:eastAsia="Times New Roman" w:hAnsiTheme="majorHAnsi" w:cs="Times New Roman"/>
                <w:lang w:eastAsia="pt-BR"/>
              </w:rPr>
              <w:t xml:space="preserve"> </w:t>
            </w:r>
            <w:proofErr w:type="spellStart"/>
            <w:r w:rsidRPr="00DB538B">
              <w:rPr>
                <w:rFonts w:asciiTheme="majorHAnsi" w:eastAsia="Times New Roman" w:hAnsiTheme="majorHAnsi" w:cs="Times New Roman"/>
                <w:lang w:eastAsia="pt-BR"/>
              </w:rPr>
              <w:t>discharge</w:t>
            </w:r>
            <w:proofErr w:type="spellEnd"/>
            <w:r w:rsidRPr="00DB538B">
              <w:rPr>
                <w:rFonts w:asciiTheme="majorHAnsi" w:eastAsia="Times New Roman" w:hAnsiTheme="majorHAnsi" w:cs="Times New Roman"/>
                <w:lang w:eastAsia="pt-BR"/>
              </w:rPr>
              <w:t xml:space="preserve"> </w:t>
            </w:r>
            <w:proofErr w:type="spellStart"/>
            <w:r w:rsidRPr="00DB538B">
              <w:rPr>
                <w:rFonts w:asciiTheme="majorHAnsi" w:eastAsia="Times New Roman" w:hAnsiTheme="majorHAnsi" w:cs="Times New Roman"/>
                <w:lang w:eastAsia="pt-BR"/>
              </w:rPr>
              <w:t>immunity</w:t>
            </w:r>
            <w:proofErr w:type="spellEnd"/>
            <w:r w:rsidRPr="00DB538B">
              <w:rPr>
                <w:rFonts w:asciiTheme="majorHAnsi" w:eastAsia="Times New Roman" w:hAnsiTheme="majorHAnsi" w:cs="Times New Roman"/>
                <w:lang w:eastAsia="pt-BR"/>
              </w:rPr>
              <w:t xml:space="preserve"> </w:t>
            </w:r>
            <w:proofErr w:type="spellStart"/>
            <w:r w:rsidRPr="00DB538B">
              <w:rPr>
                <w:rFonts w:asciiTheme="majorHAnsi" w:eastAsia="Times New Roman" w:hAnsiTheme="majorHAnsi" w:cs="Times New Roman"/>
                <w:lang w:eastAsia="pt-BR"/>
              </w:rPr>
              <w:t>test</w:t>
            </w:r>
            <w:proofErr w:type="spellEnd"/>
          </w:p>
        </w:tc>
      </w:tr>
      <w:tr w:rsidR="00DB538B" w:rsidRPr="00457F93" w14:paraId="323F43FE" w14:textId="77777777" w:rsidTr="00DB538B">
        <w:trPr>
          <w:jc w:val="center"/>
        </w:trPr>
        <w:tc>
          <w:tcPr>
            <w:tcW w:w="1884" w:type="dxa"/>
            <w:shd w:val="clear" w:color="auto" w:fill="FFFFFF"/>
            <w:vAlign w:val="center"/>
            <w:hideMark/>
          </w:tcPr>
          <w:p w14:paraId="17BE5F24"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61000-4-3</w:t>
            </w:r>
          </w:p>
        </w:tc>
        <w:tc>
          <w:tcPr>
            <w:tcW w:w="6330" w:type="dxa"/>
            <w:shd w:val="clear" w:color="auto" w:fill="FFFFFF"/>
            <w:vAlign w:val="center"/>
            <w:hideMark/>
          </w:tcPr>
          <w:p w14:paraId="7D549E06"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Radiated, radio-frequency, electromagnetic field immunity test</w:t>
            </w:r>
          </w:p>
        </w:tc>
      </w:tr>
      <w:tr w:rsidR="00DB538B" w:rsidRPr="00457F93" w14:paraId="4EBF9CB2" w14:textId="77777777" w:rsidTr="00DB538B">
        <w:trPr>
          <w:jc w:val="center"/>
        </w:trPr>
        <w:tc>
          <w:tcPr>
            <w:tcW w:w="1884" w:type="dxa"/>
            <w:shd w:val="clear" w:color="auto" w:fill="FFFFFF"/>
            <w:vAlign w:val="center"/>
            <w:hideMark/>
          </w:tcPr>
          <w:p w14:paraId="40202BD5"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61000-4-4</w:t>
            </w:r>
          </w:p>
        </w:tc>
        <w:tc>
          <w:tcPr>
            <w:tcW w:w="6330" w:type="dxa"/>
            <w:shd w:val="clear" w:color="auto" w:fill="FFFFFF"/>
            <w:vAlign w:val="center"/>
            <w:hideMark/>
          </w:tcPr>
          <w:p w14:paraId="2D3E6BF0"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Electrical fast transient/burst immunity test</w:t>
            </w:r>
          </w:p>
        </w:tc>
      </w:tr>
      <w:tr w:rsidR="00DB538B" w:rsidRPr="00DB538B" w14:paraId="384D4F6D" w14:textId="77777777" w:rsidTr="00DB538B">
        <w:trPr>
          <w:jc w:val="center"/>
        </w:trPr>
        <w:tc>
          <w:tcPr>
            <w:tcW w:w="1884" w:type="dxa"/>
            <w:shd w:val="clear" w:color="auto" w:fill="FFFFFF"/>
            <w:vAlign w:val="center"/>
            <w:hideMark/>
          </w:tcPr>
          <w:p w14:paraId="27EB2F95"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61000-4-5</w:t>
            </w:r>
          </w:p>
        </w:tc>
        <w:tc>
          <w:tcPr>
            <w:tcW w:w="6330" w:type="dxa"/>
            <w:shd w:val="clear" w:color="auto" w:fill="FFFFFF"/>
            <w:vAlign w:val="center"/>
            <w:hideMark/>
          </w:tcPr>
          <w:p w14:paraId="048D3595" w14:textId="77777777" w:rsidR="00DB538B" w:rsidRPr="00DB538B" w:rsidRDefault="00DB538B" w:rsidP="00DB538B">
            <w:pPr>
              <w:spacing w:after="0" w:line="240" w:lineRule="auto"/>
              <w:rPr>
                <w:rFonts w:asciiTheme="majorHAnsi" w:eastAsia="Times New Roman" w:hAnsiTheme="majorHAnsi" w:cs="Times New Roman"/>
                <w:lang w:eastAsia="pt-BR"/>
              </w:rPr>
            </w:pPr>
            <w:r w:rsidRPr="00DB538B">
              <w:rPr>
                <w:rFonts w:asciiTheme="majorHAnsi" w:eastAsia="Times New Roman" w:hAnsiTheme="majorHAnsi" w:cs="Times New Roman"/>
                <w:lang w:eastAsia="pt-BR"/>
              </w:rPr>
              <w:t xml:space="preserve">Surge </w:t>
            </w:r>
            <w:proofErr w:type="spellStart"/>
            <w:r w:rsidRPr="00DB538B">
              <w:rPr>
                <w:rFonts w:asciiTheme="majorHAnsi" w:eastAsia="Times New Roman" w:hAnsiTheme="majorHAnsi" w:cs="Times New Roman"/>
                <w:lang w:eastAsia="pt-BR"/>
              </w:rPr>
              <w:t>immunity</w:t>
            </w:r>
            <w:proofErr w:type="spellEnd"/>
            <w:r w:rsidRPr="00DB538B">
              <w:rPr>
                <w:rFonts w:asciiTheme="majorHAnsi" w:eastAsia="Times New Roman" w:hAnsiTheme="majorHAnsi" w:cs="Times New Roman"/>
                <w:lang w:eastAsia="pt-BR"/>
              </w:rPr>
              <w:t xml:space="preserve"> </w:t>
            </w:r>
            <w:proofErr w:type="spellStart"/>
            <w:r w:rsidRPr="00DB538B">
              <w:rPr>
                <w:rFonts w:asciiTheme="majorHAnsi" w:eastAsia="Times New Roman" w:hAnsiTheme="majorHAnsi" w:cs="Times New Roman"/>
                <w:lang w:eastAsia="pt-BR"/>
              </w:rPr>
              <w:t>test</w:t>
            </w:r>
            <w:proofErr w:type="spellEnd"/>
          </w:p>
        </w:tc>
      </w:tr>
      <w:tr w:rsidR="00DB538B" w:rsidRPr="00457F93" w14:paraId="184A4115" w14:textId="77777777" w:rsidTr="00DB538B">
        <w:trPr>
          <w:jc w:val="center"/>
        </w:trPr>
        <w:tc>
          <w:tcPr>
            <w:tcW w:w="1884" w:type="dxa"/>
            <w:shd w:val="clear" w:color="auto" w:fill="FFFFFF"/>
            <w:vAlign w:val="center"/>
            <w:hideMark/>
          </w:tcPr>
          <w:p w14:paraId="08ECC837"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lastRenderedPageBreak/>
              <w:t>IEC 61000-4-6</w:t>
            </w:r>
          </w:p>
        </w:tc>
        <w:tc>
          <w:tcPr>
            <w:tcW w:w="6330" w:type="dxa"/>
            <w:shd w:val="clear" w:color="auto" w:fill="FFFFFF"/>
            <w:vAlign w:val="center"/>
            <w:hideMark/>
          </w:tcPr>
          <w:p w14:paraId="7EC9A19F"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Immunity to conducted disturbances, induced by radio-frequency fields</w:t>
            </w:r>
          </w:p>
        </w:tc>
      </w:tr>
      <w:tr w:rsidR="00DB538B" w:rsidRPr="00457F93" w14:paraId="618AC77A" w14:textId="77777777" w:rsidTr="00DB538B">
        <w:trPr>
          <w:jc w:val="center"/>
        </w:trPr>
        <w:tc>
          <w:tcPr>
            <w:tcW w:w="1884" w:type="dxa"/>
            <w:shd w:val="clear" w:color="auto" w:fill="FFFFFF"/>
            <w:vAlign w:val="center"/>
            <w:hideMark/>
          </w:tcPr>
          <w:p w14:paraId="73AF80E4"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61000-4-8</w:t>
            </w:r>
          </w:p>
        </w:tc>
        <w:tc>
          <w:tcPr>
            <w:tcW w:w="6330" w:type="dxa"/>
            <w:shd w:val="clear" w:color="auto" w:fill="FFFFFF"/>
            <w:vAlign w:val="center"/>
            <w:hideMark/>
          </w:tcPr>
          <w:p w14:paraId="2EF0A8DC"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Power frequency magnetic field immunity test</w:t>
            </w:r>
          </w:p>
        </w:tc>
      </w:tr>
      <w:tr w:rsidR="00DB538B" w:rsidRPr="00457F93" w14:paraId="330062EF" w14:textId="77777777" w:rsidTr="00DB538B">
        <w:trPr>
          <w:jc w:val="center"/>
        </w:trPr>
        <w:tc>
          <w:tcPr>
            <w:tcW w:w="1884" w:type="dxa"/>
            <w:shd w:val="clear" w:color="auto" w:fill="FFFFFF"/>
            <w:vAlign w:val="center"/>
            <w:hideMark/>
          </w:tcPr>
          <w:p w14:paraId="24137F12"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IEC 61000-4-11</w:t>
            </w:r>
          </w:p>
        </w:tc>
        <w:tc>
          <w:tcPr>
            <w:tcW w:w="6330" w:type="dxa"/>
            <w:shd w:val="clear" w:color="auto" w:fill="FFFFFF"/>
            <w:vAlign w:val="center"/>
            <w:hideMark/>
          </w:tcPr>
          <w:p w14:paraId="1AFE90A9"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Voltage dips, short interruptions and voltage variations immunity tests</w:t>
            </w:r>
          </w:p>
        </w:tc>
      </w:tr>
      <w:tr w:rsidR="00DB538B" w:rsidRPr="00457F93" w14:paraId="39D8969A" w14:textId="77777777" w:rsidTr="00DB538B">
        <w:trPr>
          <w:jc w:val="center"/>
        </w:trPr>
        <w:tc>
          <w:tcPr>
            <w:tcW w:w="1884" w:type="dxa"/>
            <w:shd w:val="clear" w:color="auto" w:fill="FFFFFF"/>
            <w:vAlign w:val="center"/>
            <w:hideMark/>
          </w:tcPr>
          <w:p w14:paraId="30E045DD" w14:textId="77777777" w:rsidR="00DB538B" w:rsidRPr="00DB538B" w:rsidRDefault="00DB538B" w:rsidP="00DB538B">
            <w:pPr>
              <w:spacing w:after="0" w:line="240" w:lineRule="auto"/>
              <w:jc w:val="center"/>
              <w:rPr>
                <w:rFonts w:asciiTheme="majorHAnsi" w:eastAsia="Times New Roman" w:hAnsiTheme="majorHAnsi" w:cs="Times New Roman"/>
                <w:lang w:eastAsia="pt-BR"/>
              </w:rPr>
            </w:pPr>
            <w:r w:rsidRPr="00DB538B">
              <w:rPr>
                <w:rFonts w:asciiTheme="majorHAnsi" w:eastAsia="Times New Roman" w:hAnsiTheme="majorHAnsi" w:cs="Times New Roman"/>
                <w:b/>
                <w:bCs/>
                <w:lang w:eastAsia="pt-BR"/>
              </w:rPr>
              <w:t>ISO 7637-2</w:t>
            </w:r>
          </w:p>
        </w:tc>
        <w:tc>
          <w:tcPr>
            <w:tcW w:w="6330" w:type="dxa"/>
            <w:shd w:val="clear" w:color="auto" w:fill="FFFFFF"/>
            <w:vAlign w:val="center"/>
            <w:hideMark/>
          </w:tcPr>
          <w:p w14:paraId="26E4FD5D" w14:textId="77777777" w:rsidR="00DB538B" w:rsidRPr="00DB538B" w:rsidRDefault="00DB538B" w:rsidP="00DB538B">
            <w:pPr>
              <w:spacing w:after="0" w:line="240" w:lineRule="auto"/>
              <w:rPr>
                <w:rFonts w:asciiTheme="majorHAnsi" w:eastAsia="Times New Roman" w:hAnsiTheme="majorHAnsi" w:cs="Times New Roman"/>
                <w:lang w:val="en-US" w:eastAsia="pt-BR"/>
              </w:rPr>
            </w:pPr>
            <w:r w:rsidRPr="00DB538B">
              <w:rPr>
                <w:rFonts w:asciiTheme="majorHAnsi" w:eastAsia="Times New Roman" w:hAnsiTheme="majorHAnsi" w:cs="Times New Roman"/>
                <w:lang w:val="en-US" w:eastAsia="pt-BR"/>
              </w:rPr>
              <w:t>Road vehicles – Electrical disturbances from conduction and coupling – Part 2: Electrical transient conduction along supply lines only</w:t>
            </w:r>
          </w:p>
        </w:tc>
      </w:tr>
    </w:tbl>
    <w:p w14:paraId="3751858C" w14:textId="0872EE31" w:rsidR="00154FD3" w:rsidRPr="0021622B" w:rsidRDefault="00154FD3" w:rsidP="00DB538B">
      <w:pPr>
        <w:spacing w:after="240" w:line="360" w:lineRule="auto"/>
        <w:jc w:val="center"/>
        <w:rPr>
          <w:rFonts w:asciiTheme="majorHAnsi" w:hAnsiTheme="majorHAnsi"/>
        </w:rPr>
      </w:pPr>
      <w:r w:rsidRPr="0021622B">
        <w:rPr>
          <w:rFonts w:asciiTheme="majorHAnsi" w:hAnsiTheme="majorHAnsi" w:cs="Arial"/>
          <w:b/>
        </w:rPr>
        <w:t>Fonte:</w:t>
      </w:r>
      <w:r w:rsidRPr="0021622B">
        <w:rPr>
          <w:rFonts w:asciiTheme="majorHAnsi" w:hAnsiTheme="majorHAnsi" w:cs="Arial"/>
        </w:rPr>
        <w:t xml:space="preserve"> elaboração própria com base nas informações disponíveis na IEC 60601-2-2.</w:t>
      </w:r>
    </w:p>
    <w:p w14:paraId="7A3B19A8" w14:textId="3C77D61D" w:rsidR="003E6B1F"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90" w:name="_Toc478923597"/>
      <w:bookmarkStart w:id="91" w:name="_Toc478923957"/>
      <w:bookmarkStart w:id="92" w:name="_Toc478924068"/>
      <w:bookmarkStart w:id="93" w:name="_Toc478924190"/>
      <w:bookmarkStart w:id="94" w:name="_Toc478924995"/>
      <w:bookmarkStart w:id="95" w:name="_Toc478926201"/>
      <w:bookmarkStart w:id="96" w:name="_Toc478926327"/>
      <w:bookmarkStart w:id="97" w:name="_Toc479013866"/>
      <w:bookmarkStart w:id="98" w:name="_Toc482620237"/>
      <w:r w:rsidRPr="00A47DF3">
        <w:rPr>
          <w:rFonts w:ascii="Calibri Light" w:hAnsi="Calibri Light"/>
          <w:b/>
          <w:color w:val="0066B2"/>
          <w:lang w:val="en-US"/>
        </w:rPr>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60601-1-3 – </w:t>
      </w:r>
      <w:r w:rsidRPr="00A47DF3">
        <w:rPr>
          <w:rFonts w:ascii="Calibri Light" w:hAnsi="Calibri Light"/>
          <w:b/>
          <w:i/>
          <w:color w:val="0066B2"/>
          <w:lang w:val="en-US"/>
        </w:rPr>
        <w:t>Radiation protection in diagnostic X-ray equipment</w:t>
      </w:r>
      <w:bookmarkEnd w:id="87"/>
      <w:bookmarkEnd w:id="88"/>
      <w:bookmarkEnd w:id="89"/>
      <w:bookmarkEnd w:id="90"/>
      <w:bookmarkEnd w:id="91"/>
      <w:bookmarkEnd w:id="92"/>
      <w:bookmarkEnd w:id="93"/>
      <w:bookmarkEnd w:id="94"/>
      <w:bookmarkEnd w:id="95"/>
      <w:bookmarkEnd w:id="96"/>
      <w:bookmarkEnd w:id="97"/>
      <w:bookmarkEnd w:id="98"/>
    </w:p>
    <w:p w14:paraId="4D607B7C" w14:textId="7DDAD0C7" w:rsidR="00363C45" w:rsidRPr="0021622B" w:rsidRDefault="00DD29D8" w:rsidP="00B125DD">
      <w:pPr>
        <w:spacing w:line="360" w:lineRule="auto"/>
        <w:jc w:val="both"/>
        <w:rPr>
          <w:rFonts w:asciiTheme="majorHAnsi" w:hAnsiTheme="majorHAnsi" w:cs="Arial"/>
        </w:rPr>
      </w:pPr>
      <w:r w:rsidRPr="0021622B">
        <w:rPr>
          <w:rFonts w:asciiTheme="majorHAnsi" w:hAnsiTheme="majorHAnsi" w:cs="Arial"/>
        </w:rPr>
        <w:t xml:space="preserve">Esta norma colateral foi elaborada pelo subcomitê técnico IEC STC62B e está na sua 3ª edição. Nesta edição, os requisitos foram alinhados com a filosofia </w:t>
      </w:r>
      <w:r w:rsidR="0088229B" w:rsidRPr="0021622B">
        <w:rPr>
          <w:rFonts w:asciiTheme="majorHAnsi" w:hAnsiTheme="majorHAnsi" w:cs="Arial"/>
        </w:rPr>
        <w:t xml:space="preserve">da </w:t>
      </w:r>
      <w:r w:rsidRPr="0021622B">
        <w:rPr>
          <w:rFonts w:asciiTheme="majorHAnsi" w:hAnsiTheme="majorHAnsi" w:cs="Arial"/>
        </w:rPr>
        <w:t>terceira edição da norma geral no que diz respeito à proteção contra radiação e se aplica a todos equipamentos de diagnóstico por raios-X. A norma define como o fabricante deve projetar e construir seus equipamentos, incluindo seus acessórios e partes.</w:t>
      </w:r>
    </w:p>
    <w:p w14:paraId="2B9F2D7C" w14:textId="2914F792" w:rsidR="00363C45" w:rsidRPr="00A47DF3" w:rsidRDefault="002825CA"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99" w:name="_Toc475089825"/>
      <w:bookmarkStart w:id="100" w:name="_Toc475089950"/>
      <w:bookmarkStart w:id="101" w:name="_Toc475090192"/>
      <w:bookmarkStart w:id="102" w:name="_Toc478923598"/>
      <w:bookmarkStart w:id="103" w:name="_Toc478923958"/>
      <w:bookmarkStart w:id="104" w:name="_Toc478924069"/>
      <w:bookmarkStart w:id="105" w:name="_Toc478924191"/>
      <w:bookmarkStart w:id="106" w:name="_Toc478924996"/>
      <w:bookmarkStart w:id="107" w:name="_Toc478926202"/>
      <w:bookmarkStart w:id="108" w:name="_Toc478926328"/>
      <w:bookmarkStart w:id="109" w:name="_Toc479013867"/>
      <w:bookmarkStart w:id="110" w:name="_Toc482620238"/>
      <w:r w:rsidRPr="00A47DF3">
        <w:rPr>
          <w:rFonts w:ascii="Calibri Light" w:hAnsi="Calibri Light"/>
          <w:color w:val="0066B2"/>
          <w:sz w:val="32"/>
          <w:szCs w:val="32"/>
        </w:rPr>
        <w:t>Objetivo</w:t>
      </w:r>
      <w:bookmarkEnd w:id="99"/>
      <w:bookmarkEnd w:id="100"/>
      <w:bookmarkEnd w:id="101"/>
      <w:bookmarkEnd w:id="102"/>
      <w:bookmarkEnd w:id="103"/>
      <w:bookmarkEnd w:id="104"/>
      <w:bookmarkEnd w:id="105"/>
      <w:bookmarkEnd w:id="106"/>
      <w:bookmarkEnd w:id="107"/>
      <w:bookmarkEnd w:id="108"/>
      <w:bookmarkEnd w:id="109"/>
      <w:bookmarkEnd w:id="110"/>
    </w:p>
    <w:p w14:paraId="1F98B21C" w14:textId="246A5AD5" w:rsidR="00363C45" w:rsidRPr="0021622B" w:rsidRDefault="00DB538B" w:rsidP="00B125DD">
      <w:pPr>
        <w:spacing w:line="360" w:lineRule="auto"/>
        <w:jc w:val="both"/>
        <w:rPr>
          <w:rFonts w:asciiTheme="majorHAnsi" w:hAnsiTheme="majorHAnsi" w:cs="Arial"/>
        </w:rPr>
      </w:pPr>
      <w:r>
        <w:rPr>
          <w:noProof/>
          <w:lang w:eastAsia="pt-BR"/>
        </w:rPr>
        <w:drawing>
          <wp:anchor distT="0" distB="0" distL="114300" distR="114300" simplePos="0" relativeHeight="251662336" behindDoc="1" locked="0" layoutInCell="1" allowOverlap="1" wp14:anchorId="17536460" wp14:editId="2932BD9D">
            <wp:simplePos x="0" y="0"/>
            <wp:positionH relativeFrom="margin">
              <wp:align>left</wp:align>
            </wp:positionH>
            <wp:positionV relativeFrom="paragraph">
              <wp:posOffset>9525</wp:posOffset>
            </wp:positionV>
            <wp:extent cx="2714625" cy="2395220"/>
            <wp:effectExtent l="0" t="0" r="9525" b="5080"/>
            <wp:wrapTight wrapText="bothSides">
              <wp:wrapPolygon edited="0">
                <wp:start x="0" y="0"/>
                <wp:lineTo x="0" y="21474"/>
                <wp:lineTo x="21524" y="21474"/>
                <wp:lineTo x="21524" y="0"/>
                <wp:lineTo x="0" y="0"/>
              </wp:wrapPolygon>
            </wp:wrapTight>
            <wp:docPr id="12" name="Imagem 12" descr="http://prodsaude-entib.org.br/prodsaude/imagens/PS_60601_A03_2.1_rai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rodsaude-entib.org.br/prodsaude/imagens/PS_60601_A03_2.1_raiox.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4625" cy="2395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825CA" w:rsidRPr="0021622B">
        <w:rPr>
          <w:rFonts w:asciiTheme="majorHAnsi" w:hAnsiTheme="majorHAnsi" w:cs="Arial"/>
        </w:rPr>
        <w:t xml:space="preserve">Este documento tem como propósito estabelecer requisitos gerais para proteção contra radiação por raios-X (radiação ionizante) e equipamentos que operam por raios-X. A proteção a qual se refere é em favor do paciente e do operador, além de todos os membros da equipe que atuem fisicamente próximos do equipamento. Os níveis de radiação devem ser tão </w:t>
      </w:r>
      <w:r w:rsidR="000B20D8" w:rsidRPr="0021622B">
        <w:rPr>
          <w:rFonts w:asciiTheme="majorHAnsi" w:hAnsiTheme="majorHAnsi" w:cs="Arial"/>
        </w:rPr>
        <w:t>baixos</w:t>
      </w:r>
      <w:r w:rsidR="002825CA" w:rsidRPr="0021622B">
        <w:rPr>
          <w:rFonts w:asciiTheme="majorHAnsi" w:hAnsiTheme="majorHAnsi" w:cs="Arial"/>
        </w:rPr>
        <w:t xml:space="preserve"> quanto razoavelmente possível sem prejudicar o procedimento médico, ou seja, o benefício da exposição à radiação ionizante deve sobrepujar os malefícios (potenciais) que a exposição possa trazer.</w:t>
      </w:r>
    </w:p>
    <w:p w14:paraId="24394212" w14:textId="295A0651" w:rsidR="00DD29D8" w:rsidRPr="0021622B" w:rsidRDefault="00DD29D8" w:rsidP="00B125DD">
      <w:pPr>
        <w:spacing w:line="360" w:lineRule="auto"/>
        <w:jc w:val="both"/>
        <w:rPr>
          <w:rFonts w:asciiTheme="majorHAnsi" w:hAnsiTheme="majorHAnsi" w:cs="Arial"/>
        </w:rPr>
      </w:pPr>
      <w:r w:rsidRPr="0021622B">
        <w:rPr>
          <w:rFonts w:asciiTheme="majorHAnsi" w:hAnsiTheme="majorHAnsi" w:cs="Arial"/>
        </w:rPr>
        <w:t xml:space="preserve">O cerne deste documento é a radiação de raios-X, quer seja propositalmente para realizar o diagnóstico, quer seja </w:t>
      </w:r>
      <w:r w:rsidR="00471E03" w:rsidRPr="0021622B">
        <w:rPr>
          <w:rFonts w:asciiTheme="majorHAnsi" w:hAnsiTheme="majorHAnsi" w:cs="Arial"/>
        </w:rPr>
        <w:t xml:space="preserve">acidentalmente, </w:t>
      </w:r>
      <w:r w:rsidR="0088229B" w:rsidRPr="0021622B">
        <w:rPr>
          <w:rFonts w:asciiTheme="majorHAnsi" w:hAnsiTheme="majorHAnsi" w:cs="Arial"/>
        </w:rPr>
        <w:t>isto é</w:t>
      </w:r>
      <w:r w:rsidR="00471E03" w:rsidRPr="0021622B">
        <w:rPr>
          <w:rFonts w:asciiTheme="majorHAnsi" w:hAnsiTheme="majorHAnsi" w:cs="Arial"/>
        </w:rPr>
        <w:t>, fora das condições previstas para o uso pretendido do equipamento.</w:t>
      </w:r>
      <w:r w:rsidR="002721AE" w:rsidRPr="0021622B">
        <w:rPr>
          <w:rFonts w:asciiTheme="majorHAnsi" w:hAnsiTheme="majorHAnsi" w:cs="Arial"/>
        </w:rPr>
        <w:t xml:space="preserve"> A fonte, filtros e demais meios empregados na geração do raio-X podem ter requisitos de segurança adicionais, fora do escopo da série IEC 60601, mas que não podem ser negligenciados pelo fabricante no seu gerenciamento de risco. </w:t>
      </w:r>
      <w:r w:rsidR="00471E03" w:rsidRPr="0021622B">
        <w:rPr>
          <w:rFonts w:asciiTheme="majorHAnsi" w:hAnsiTheme="majorHAnsi" w:cs="Arial"/>
        </w:rPr>
        <w:t xml:space="preserve">Adicionalmente, as normas particulares dos equipamentos eletromédicos que </w:t>
      </w:r>
      <w:r w:rsidR="00471E03" w:rsidRPr="0021622B">
        <w:rPr>
          <w:rFonts w:asciiTheme="majorHAnsi" w:hAnsiTheme="majorHAnsi" w:cs="Arial"/>
        </w:rPr>
        <w:lastRenderedPageBreak/>
        <w:t xml:space="preserve">utilizam raios-X podem trazer novos requisitos de segurança e desempenho essencial ou corrigir os </w:t>
      </w:r>
      <w:r w:rsidR="0088229B" w:rsidRPr="0021622B">
        <w:rPr>
          <w:rFonts w:asciiTheme="majorHAnsi" w:hAnsiTheme="majorHAnsi" w:cs="Arial"/>
        </w:rPr>
        <w:t xml:space="preserve">requisitos </w:t>
      </w:r>
      <w:r w:rsidR="00471E03" w:rsidRPr="0021622B">
        <w:rPr>
          <w:rFonts w:asciiTheme="majorHAnsi" w:hAnsiTheme="majorHAnsi" w:cs="Arial"/>
        </w:rPr>
        <w:t>presentes nesta norma.</w:t>
      </w:r>
    </w:p>
    <w:p w14:paraId="1E4C40CB" w14:textId="40ED612F" w:rsidR="00471E03" w:rsidRPr="00A47DF3" w:rsidRDefault="00D932A0"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11" w:name="_Toc475089826"/>
      <w:bookmarkStart w:id="112" w:name="_Toc475089951"/>
      <w:bookmarkStart w:id="113" w:name="_Toc475090193"/>
      <w:bookmarkStart w:id="114" w:name="_Toc478923599"/>
      <w:bookmarkStart w:id="115" w:name="_Toc478923959"/>
      <w:bookmarkStart w:id="116" w:name="_Toc478924070"/>
      <w:bookmarkStart w:id="117" w:name="_Toc478924192"/>
      <w:bookmarkStart w:id="118" w:name="_Toc478924997"/>
      <w:bookmarkStart w:id="119" w:name="_Toc478926203"/>
      <w:bookmarkStart w:id="120" w:name="_Toc478926329"/>
      <w:bookmarkStart w:id="121" w:name="_Toc479013868"/>
      <w:bookmarkStart w:id="122" w:name="_Toc482620239"/>
      <w:r w:rsidRPr="00A47DF3">
        <w:rPr>
          <w:rFonts w:ascii="Calibri Light" w:hAnsi="Calibri Light"/>
          <w:color w:val="0066B2"/>
          <w:sz w:val="32"/>
          <w:szCs w:val="32"/>
        </w:rPr>
        <w:t>Princípios norteadores da norma</w:t>
      </w:r>
      <w:bookmarkEnd w:id="111"/>
      <w:bookmarkEnd w:id="112"/>
      <w:bookmarkEnd w:id="113"/>
      <w:bookmarkEnd w:id="114"/>
      <w:bookmarkEnd w:id="115"/>
      <w:bookmarkEnd w:id="116"/>
      <w:bookmarkEnd w:id="117"/>
      <w:bookmarkEnd w:id="118"/>
      <w:bookmarkEnd w:id="119"/>
      <w:bookmarkEnd w:id="120"/>
      <w:bookmarkEnd w:id="121"/>
      <w:bookmarkEnd w:id="122"/>
    </w:p>
    <w:p w14:paraId="28C78813" w14:textId="552266A9" w:rsidR="00DD29D8" w:rsidRPr="0021622B" w:rsidRDefault="00471E03" w:rsidP="00B125DD">
      <w:pPr>
        <w:spacing w:line="360" w:lineRule="auto"/>
        <w:jc w:val="both"/>
        <w:rPr>
          <w:rFonts w:asciiTheme="majorHAnsi" w:hAnsiTheme="majorHAnsi" w:cs="Arial"/>
        </w:rPr>
      </w:pPr>
      <w:r w:rsidRPr="0021622B">
        <w:rPr>
          <w:rFonts w:asciiTheme="majorHAnsi" w:hAnsiTheme="majorHAnsi" w:cs="Arial"/>
        </w:rPr>
        <w:t>A versão anterior desta norma prescrevia requisitos gerais aplicáveis, em princípio, a todos equipamentos que utilizem raios-X. Nesta terceira edição, contudo, os requisitos são restritos aos equipamentos de diagnóstico e foram excluídas, por exemplo, as avaliações de emissão de raios-X para tratamento, mesmo que acessórias à radiografia ou radioscopia.</w:t>
      </w:r>
      <w:r w:rsidR="00370C58" w:rsidRPr="0021622B">
        <w:rPr>
          <w:rFonts w:asciiTheme="majorHAnsi" w:hAnsiTheme="majorHAnsi" w:cs="Arial"/>
        </w:rPr>
        <w:t xml:space="preserve"> </w:t>
      </w:r>
      <w:r w:rsidR="0088229B" w:rsidRPr="0021622B">
        <w:rPr>
          <w:rFonts w:asciiTheme="majorHAnsi" w:hAnsiTheme="majorHAnsi" w:cs="Arial"/>
        </w:rPr>
        <w:t xml:space="preserve">Por outro lado, </w:t>
      </w:r>
      <w:r w:rsidR="0028535B" w:rsidRPr="0021622B">
        <w:rPr>
          <w:rFonts w:asciiTheme="majorHAnsi" w:hAnsiTheme="majorHAnsi" w:cs="Arial"/>
        </w:rPr>
        <w:t>a</w:t>
      </w:r>
      <w:r w:rsidR="00370C58" w:rsidRPr="0021622B">
        <w:rPr>
          <w:rFonts w:asciiTheme="majorHAnsi" w:hAnsiTheme="majorHAnsi" w:cs="Arial"/>
        </w:rPr>
        <w:t>s normas particulares</w:t>
      </w:r>
      <w:r w:rsidR="0028535B" w:rsidRPr="0021622B">
        <w:rPr>
          <w:rFonts w:asciiTheme="majorHAnsi" w:hAnsiTheme="majorHAnsi" w:cs="Arial"/>
        </w:rPr>
        <w:t xml:space="preserve"> e</w:t>
      </w:r>
      <w:r w:rsidR="00370C58" w:rsidRPr="0021622B">
        <w:rPr>
          <w:rFonts w:asciiTheme="majorHAnsi" w:hAnsiTheme="majorHAnsi" w:cs="Arial"/>
        </w:rPr>
        <w:t xml:space="preserve"> o gerenciamento de risco complementam os requisitos, ensaios e critérios de aceitação dos limites de emissão de raios-X.</w:t>
      </w:r>
    </w:p>
    <w:p w14:paraId="0E8D9379" w14:textId="45C8ECF9" w:rsidR="00016AA8" w:rsidRPr="0021622B" w:rsidRDefault="00370C58" w:rsidP="00EB1DB7">
      <w:pPr>
        <w:spacing w:line="360" w:lineRule="auto"/>
        <w:jc w:val="both"/>
        <w:rPr>
          <w:rFonts w:asciiTheme="majorHAnsi" w:hAnsiTheme="majorHAnsi" w:cs="Arial"/>
        </w:rPr>
      </w:pPr>
      <w:r w:rsidRPr="0021622B">
        <w:rPr>
          <w:rFonts w:asciiTheme="majorHAnsi" w:hAnsiTheme="majorHAnsi" w:cs="Arial"/>
        </w:rPr>
        <w:t xml:space="preserve">O </w:t>
      </w:r>
      <w:r w:rsidR="0028535B" w:rsidRPr="0021622B">
        <w:rPr>
          <w:rFonts w:asciiTheme="majorHAnsi" w:hAnsiTheme="majorHAnsi" w:cs="Arial"/>
        </w:rPr>
        <w:t xml:space="preserve">Capítulo </w:t>
      </w:r>
      <w:r w:rsidRPr="0021622B">
        <w:rPr>
          <w:rFonts w:asciiTheme="majorHAnsi" w:hAnsiTheme="majorHAnsi" w:cs="Arial"/>
        </w:rPr>
        <w:t xml:space="preserve">4 da publicação 60 do </w:t>
      </w:r>
      <w:proofErr w:type="spellStart"/>
      <w:r w:rsidRPr="0021622B">
        <w:rPr>
          <w:rFonts w:asciiTheme="majorHAnsi" w:hAnsiTheme="majorHAnsi" w:cs="Arial"/>
          <w:i/>
        </w:rPr>
        <w:t>International</w:t>
      </w:r>
      <w:proofErr w:type="spellEnd"/>
      <w:r w:rsidRPr="0021622B">
        <w:rPr>
          <w:rFonts w:asciiTheme="majorHAnsi" w:hAnsiTheme="majorHAnsi" w:cs="Arial"/>
          <w:i/>
        </w:rPr>
        <w:t xml:space="preserve"> </w:t>
      </w:r>
      <w:proofErr w:type="spellStart"/>
      <w:r w:rsidRPr="0021622B">
        <w:rPr>
          <w:rFonts w:asciiTheme="majorHAnsi" w:hAnsiTheme="majorHAnsi" w:cs="Arial"/>
          <w:i/>
        </w:rPr>
        <w:t>Commission</w:t>
      </w:r>
      <w:proofErr w:type="spellEnd"/>
      <w:r w:rsidRPr="0021622B">
        <w:rPr>
          <w:rFonts w:asciiTheme="majorHAnsi" w:hAnsiTheme="majorHAnsi" w:cs="Arial"/>
          <w:i/>
        </w:rPr>
        <w:t xml:space="preserve"> </w:t>
      </w:r>
      <w:proofErr w:type="spellStart"/>
      <w:r w:rsidRPr="0021622B">
        <w:rPr>
          <w:rFonts w:asciiTheme="majorHAnsi" w:hAnsiTheme="majorHAnsi" w:cs="Arial"/>
          <w:i/>
        </w:rPr>
        <w:t>on</w:t>
      </w:r>
      <w:proofErr w:type="spellEnd"/>
      <w:r w:rsidRPr="0021622B">
        <w:rPr>
          <w:rFonts w:asciiTheme="majorHAnsi" w:hAnsiTheme="majorHAnsi" w:cs="Arial"/>
          <w:i/>
        </w:rPr>
        <w:t xml:space="preserve"> </w:t>
      </w:r>
      <w:proofErr w:type="spellStart"/>
      <w:r w:rsidRPr="0021622B">
        <w:rPr>
          <w:rFonts w:asciiTheme="majorHAnsi" w:hAnsiTheme="majorHAnsi" w:cs="Arial"/>
          <w:i/>
        </w:rPr>
        <w:t>Radiological</w:t>
      </w:r>
      <w:proofErr w:type="spellEnd"/>
      <w:r w:rsidRPr="0021622B">
        <w:rPr>
          <w:rFonts w:asciiTheme="majorHAnsi" w:hAnsiTheme="majorHAnsi" w:cs="Arial"/>
          <w:i/>
        </w:rPr>
        <w:t xml:space="preserve"> </w:t>
      </w:r>
      <w:proofErr w:type="spellStart"/>
      <w:r w:rsidRPr="0021622B">
        <w:rPr>
          <w:rFonts w:asciiTheme="majorHAnsi" w:hAnsiTheme="majorHAnsi" w:cs="Arial"/>
          <w:i/>
        </w:rPr>
        <w:t>Protection</w:t>
      </w:r>
      <w:proofErr w:type="spellEnd"/>
      <w:r w:rsidR="0028535B" w:rsidRPr="0021622B">
        <w:rPr>
          <w:rFonts w:asciiTheme="majorHAnsi" w:hAnsiTheme="majorHAnsi" w:cs="Arial"/>
          <w:i/>
        </w:rPr>
        <w:t xml:space="preserve"> (ICRP)</w:t>
      </w:r>
      <w:r w:rsidR="00EB1DB7">
        <w:rPr>
          <w:rStyle w:val="Refdenotaderodap"/>
          <w:rFonts w:asciiTheme="majorHAnsi" w:hAnsiTheme="majorHAnsi" w:cs="Arial"/>
        </w:rPr>
        <w:footnoteReference w:id="1"/>
      </w:r>
      <w:r w:rsidRPr="0021622B">
        <w:rPr>
          <w:rFonts w:asciiTheme="majorHAnsi" w:hAnsiTheme="majorHAnsi" w:cs="Arial"/>
        </w:rPr>
        <w:t xml:space="preserve"> determina os princípios da radiação para aplicações médicas. Esta norma toma estes princípios como base para estabelecer os requisitos e critérios de segurança. Em linhas gerais, não é apenas a construção do equipamento que deve ser avaliado para se assegurar o atendimento aos requisitos, mas também</w:t>
      </w:r>
      <w:r w:rsidR="0028535B" w:rsidRPr="0021622B">
        <w:rPr>
          <w:rFonts w:asciiTheme="majorHAnsi" w:hAnsiTheme="majorHAnsi" w:cs="Arial"/>
        </w:rPr>
        <w:t xml:space="preserve"> as</w:t>
      </w:r>
      <w:r w:rsidRPr="0021622B">
        <w:rPr>
          <w:rFonts w:asciiTheme="majorHAnsi" w:hAnsiTheme="majorHAnsi" w:cs="Arial"/>
        </w:rPr>
        <w:t xml:space="preserve"> medições a serem realizadas no local de uso, ou uso pretendido, do equipamento eletromédico. A elaboração desta norma buscou não se afastar das boas práticas em medicina radiológica, conforme realizados por profissionais da área, </w:t>
      </w:r>
      <w:r w:rsidR="0028535B" w:rsidRPr="0021622B">
        <w:rPr>
          <w:rFonts w:asciiTheme="majorHAnsi" w:hAnsiTheme="majorHAnsi" w:cs="Arial"/>
        </w:rPr>
        <w:t>isto é</w:t>
      </w:r>
      <w:r w:rsidRPr="0021622B">
        <w:rPr>
          <w:rFonts w:asciiTheme="majorHAnsi" w:hAnsiTheme="majorHAnsi" w:cs="Arial"/>
        </w:rPr>
        <w:t>,</w:t>
      </w:r>
      <w:r w:rsidR="0028535B" w:rsidRPr="0021622B">
        <w:rPr>
          <w:rFonts w:asciiTheme="majorHAnsi" w:hAnsiTheme="majorHAnsi" w:cs="Arial"/>
        </w:rPr>
        <w:t xml:space="preserve"> por</w:t>
      </w:r>
      <w:r w:rsidRPr="0021622B">
        <w:rPr>
          <w:rFonts w:asciiTheme="majorHAnsi" w:hAnsiTheme="majorHAnsi" w:cs="Arial"/>
        </w:rPr>
        <w:t xml:space="preserve"> médicos e técnicos em radiologia.</w:t>
      </w:r>
    </w:p>
    <w:p w14:paraId="11834961" w14:textId="61AEEC18" w:rsidR="00370C58" w:rsidRPr="00A47DF3" w:rsidRDefault="00370C58"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23" w:name="_Toc475089827"/>
      <w:bookmarkStart w:id="124" w:name="_Toc475089952"/>
      <w:bookmarkStart w:id="125" w:name="_Toc475090194"/>
      <w:bookmarkStart w:id="126" w:name="_Toc478923600"/>
      <w:bookmarkStart w:id="127" w:name="_Toc478923960"/>
      <w:bookmarkStart w:id="128" w:name="_Toc478924071"/>
      <w:bookmarkStart w:id="129" w:name="_Toc478924193"/>
      <w:bookmarkStart w:id="130" w:name="_Toc478924998"/>
      <w:bookmarkStart w:id="131" w:name="_Toc478926204"/>
      <w:bookmarkStart w:id="132" w:name="_Toc478926330"/>
      <w:bookmarkStart w:id="133" w:name="_Toc479013869"/>
      <w:bookmarkStart w:id="134" w:name="_Toc482620240"/>
      <w:r w:rsidRPr="00A47DF3">
        <w:rPr>
          <w:rFonts w:ascii="Calibri Light" w:hAnsi="Calibri Light"/>
          <w:color w:val="0066B2"/>
          <w:sz w:val="32"/>
          <w:szCs w:val="32"/>
        </w:rPr>
        <w:t xml:space="preserve">Responsabilidades e </w:t>
      </w:r>
      <w:r w:rsidR="00FD1EE0" w:rsidRPr="00A47DF3">
        <w:rPr>
          <w:rFonts w:ascii="Calibri Light" w:hAnsi="Calibri Light"/>
          <w:color w:val="0066B2"/>
          <w:sz w:val="32"/>
          <w:szCs w:val="32"/>
        </w:rPr>
        <w:t>atribuições</w:t>
      </w:r>
      <w:bookmarkEnd w:id="123"/>
      <w:bookmarkEnd w:id="124"/>
      <w:bookmarkEnd w:id="125"/>
      <w:bookmarkEnd w:id="126"/>
      <w:bookmarkEnd w:id="127"/>
      <w:bookmarkEnd w:id="128"/>
      <w:bookmarkEnd w:id="129"/>
      <w:bookmarkEnd w:id="130"/>
      <w:bookmarkEnd w:id="131"/>
      <w:bookmarkEnd w:id="132"/>
      <w:bookmarkEnd w:id="133"/>
      <w:bookmarkEnd w:id="134"/>
    </w:p>
    <w:p w14:paraId="74A2CBD4" w14:textId="70CD6560" w:rsidR="00370C58" w:rsidRPr="0021622B" w:rsidRDefault="00FD1EE0" w:rsidP="00B125DD">
      <w:pPr>
        <w:spacing w:line="360" w:lineRule="auto"/>
        <w:jc w:val="both"/>
        <w:rPr>
          <w:rFonts w:asciiTheme="majorHAnsi" w:hAnsiTheme="majorHAnsi" w:cs="Arial"/>
        </w:rPr>
      </w:pPr>
      <w:r w:rsidRPr="0021622B">
        <w:rPr>
          <w:rFonts w:asciiTheme="majorHAnsi" w:hAnsiTheme="majorHAnsi" w:cs="Arial"/>
        </w:rPr>
        <w:t xml:space="preserve">Proteção radiológica é um tema muito sensível e gera muitas peculiaridades e distinções em diferentes países. Embora seja patente que o uso de radiação nuclear difere significativamente para aplicações tais como armas nucleares, geração de energia elétrica ou aplicações médicas, é muito comum que os países atuem em constante vigilância </w:t>
      </w:r>
      <w:r w:rsidR="0028535B" w:rsidRPr="0021622B">
        <w:rPr>
          <w:rFonts w:asciiTheme="majorHAnsi" w:hAnsiTheme="majorHAnsi" w:cs="Arial"/>
        </w:rPr>
        <w:t xml:space="preserve">mútua </w:t>
      </w:r>
      <w:r w:rsidRPr="0021622B">
        <w:rPr>
          <w:rFonts w:asciiTheme="majorHAnsi" w:hAnsiTheme="majorHAnsi" w:cs="Arial"/>
        </w:rPr>
        <w:t xml:space="preserve">quanto ao uso pacífico, ou não, da radiação ionizante. Assim sendo, esta norma deixou propositais lacunas para que legislações locais, regionais ou nacionais possam facilmente ser adicionadas sem desfigurar seu conteúdo. Por exemplo, a norma estabelece a figura da “organização responsável” pelas instalações. Enquanto em determinado país a própria unidade hospitalar poderá ser responsável por gerenciar a instalação e manutenção das áreas destinadas aos equipamentos de radiação ionizante, outros países, por exemplo o Brasil, há necessidade de um controle próximo de órgãos federais. No Brasil, esta vigilância está a cargo da Comissão Nacional de Energia Nuclear (CNEN) e a </w:t>
      </w:r>
      <w:r w:rsidRPr="0021622B">
        <w:rPr>
          <w:rFonts w:asciiTheme="majorHAnsi" w:hAnsiTheme="majorHAnsi" w:cs="Arial"/>
        </w:rPr>
        <w:lastRenderedPageBreak/>
        <w:t>metrologia das radiações ionizantes é exercida pelo Instituto de Radioproteção e Dosimetria (IRD), vinculado ao CNEN e designado pelo Inmetro para a atividade de metrologia.</w:t>
      </w:r>
    </w:p>
    <w:p w14:paraId="1C9C4387" w14:textId="73F44F75" w:rsidR="00FD1EE0" w:rsidRPr="0021622B" w:rsidRDefault="00FD1EE0" w:rsidP="00B125DD">
      <w:pPr>
        <w:spacing w:line="360" w:lineRule="auto"/>
        <w:jc w:val="both"/>
        <w:rPr>
          <w:rFonts w:asciiTheme="majorHAnsi" w:hAnsiTheme="majorHAnsi" w:cs="Arial"/>
        </w:rPr>
      </w:pPr>
      <w:r w:rsidRPr="0021622B">
        <w:rPr>
          <w:rFonts w:asciiTheme="majorHAnsi" w:hAnsiTheme="majorHAnsi" w:cs="Arial"/>
        </w:rPr>
        <w:t>A organização responsável pela instalação dos equipamentos de diagnóstico por radiação ionizante deve atentar para, pelo menos, os seguintes aspectos:</w:t>
      </w:r>
    </w:p>
    <w:p w14:paraId="3FFCA617" w14:textId="7E9920E1" w:rsidR="00DB7E77" w:rsidRDefault="00DB7E77" w:rsidP="00DB7E77">
      <w:pPr>
        <w:pStyle w:val="PargrafodaLista"/>
        <w:numPr>
          <w:ilvl w:val="0"/>
          <w:numId w:val="4"/>
        </w:numPr>
        <w:spacing w:line="360" w:lineRule="auto"/>
        <w:ind w:left="709" w:hanging="283"/>
        <w:jc w:val="both"/>
        <w:rPr>
          <w:rFonts w:asciiTheme="majorHAnsi" w:hAnsiTheme="majorHAnsi" w:cs="Arial"/>
        </w:rPr>
      </w:pPr>
      <w:r>
        <w:rPr>
          <w:noProof/>
          <w:lang w:eastAsia="pt-BR"/>
        </w:rPr>
        <w:drawing>
          <wp:anchor distT="0" distB="0" distL="114300" distR="114300" simplePos="0" relativeHeight="251664384" behindDoc="1" locked="0" layoutInCell="1" allowOverlap="1" wp14:anchorId="690FEF6A" wp14:editId="7A584FE6">
            <wp:simplePos x="0" y="0"/>
            <wp:positionH relativeFrom="margin">
              <wp:align>right</wp:align>
            </wp:positionH>
            <wp:positionV relativeFrom="paragraph">
              <wp:posOffset>8890</wp:posOffset>
            </wp:positionV>
            <wp:extent cx="2752725" cy="2428875"/>
            <wp:effectExtent l="0" t="0" r="9525" b="9525"/>
            <wp:wrapTight wrapText="bothSides">
              <wp:wrapPolygon edited="0">
                <wp:start x="0" y="0"/>
                <wp:lineTo x="0" y="21515"/>
                <wp:lineTo x="21525" y="21515"/>
                <wp:lineTo x="21525" y="0"/>
                <wp:lineTo x="0" y="0"/>
              </wp:wrapPolygon>
            </wp:wrapTight>
            <wp:docPr id="13" name="Imagem 13" descr="http://prodsaude-entib.org.br/prodsaude/imagens/PS_60601_A03_2.3_E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rodsaude-entib.org.br/prodsaude/imagens/PS_60601_A03_2.3_EPI.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52725" cy="2428875"/>
                    </a:xfrm>
                    <a:prstGeom prst="rect">
                      <a:avLst/>
                    </a:prstGeom>
                    <a:noFill/>
                    <a:ln>
                      <a:noFill/>
                    </a:ln>
                  </pic:spPr>
                </pic:pic>
              </a:graphicData>
            </a:graphic>
          </wp:anchor>
        </w:drawing>
      </w:r>
      <w:proofErr w:type="gramStart"/>
      <w:r w:rsidR="00FD1EE0" w:rsidRPr="0021622B">
        <w:rPr>
          <w:rFonts w:asciiTheme="majorHAnsi" w:hAnsiTheme="majorHAnsi" w:cs="Arial"/>
        </w:rPr>
        <w:t>compatibilidade</w:t>
      </w:r>
      <w:proofErr w:type="gramEnd"/>
      <w:r w:rsidR="00FD1EE0" w:rsidRPr="0021622B">
        <w:rPr>
          <w:rFonts w:asciiTheme="majorHAnsi" w:hAnsiTheme="majorHAnsi" w:cs="Arial"/>
        </w:rPr>
        <w:t xml:space="preserve"> entre o equipamento eletromédico, incluindo seus acessórios, com as instalações físicas e prediais;</w:t>
      </w:r>
    </w:p>
    <w:p w14:paraId="1945690E" w14:textId="77777777" w:rsidR="00DB7E77" w:rsidRDefault="00FD1EE0" w:rsidP="00DB7E77">
      <w:pPr>
        <w:pStyle w:val="PargrafodaLista"/>
        <w:numPr>
          <w:ilvl w:val="0"/>
          <w:numId w:val="4"/>
        </w:numPr>
        <w:spacing w:line="360" w:lineRule="auto"/>
        <w:ind w:left="709" w:hanging="283"/>
        <w:jc w:val="both"/>
        <w:rPr>
          <w:rFonts w:asciiTheme="majorHAnsi" w:hAnsiTheme="majorHAnsi" w:cs="Arial"/>
        </w:rPr>
      </w:pPr>
      <w:proofErr w:type="gramStart"/>
      <w:r w:rsidRPr="00DB7E77">
        <w:rPr>
          <w:rFonts w:asciiTheme="majorHAnsi" w:hAnsiTheme="majorHAnsi" w:cs="Arial"/>
        </w:rPr>
        <w:t>características</w:t>
      </w:r>
      <w:proofErr w:type="gramEnd"/>
      <w:r w:rsidRPr="00DB7E77">
        <w:rPr>
          <w:rFonts w:asciiTheme="majorHAnsi" w:hAnsiTheme="majorHAnsi" w:cs="Arial"/>
        </w:rPr>
        <w:t xml:space="preserve"> do ambiente (isolamento das paredes, por exemplo);</w:t>
      </w:r>
    </w:p>
    <w:p w14:paraId="3B3E5B7D" w14:textId="77777777" w:rsidR="00DB7E77" w:rsidRDefault="00FD1EE0" w:rsidP="00DB7E77">
      <w:pPr>
        <w:pStyle w:val="PargrafodaLista"/>
        <w:numPr>
          <w:ilvl w:val="0"/>
          <w:numId w:val="4"/>
        </w:numPr>
        <w:spacing w:line="360" w:lineRule="auto"/>
        <w:ind w:left="709" w:hanging="283"/>
        <w:jc w:val="both"/>
        <w:rPr>
          <w:rFonts w:asciiTheme="majorHAnsi" w:hAnsiTheme="majorHAnsi" w:cs="Arial"/>
        </w:rPr>
      </w:pPr>
      <w:proofErr w:type="gramStart"/>
      <w:r w:rsidRPr="00DB7E77">
        <w:rPr>
          <w:rFonts w:asciiTheme="majorHAnsi" w:hAnsiTheme="majorHAnsi" w:cs="Arial"/>
        </w:rPr>
        <w:t>atenção</w:t>
      </w:r>
      <w:proofErr w:type="gramEnd"/>
      <w:r w:rsidRPr="00DB7E77">
        <w:rPr>
          <w:rFonts w:asciiTheme="majorHAnsi" w:hAnsiTheme="majorHAnsi" w:cs="Arial"/>
        </w:rPr>
        <w:t xml:space="preserve"> e cuidados especiais com o equipamento durante toda sua vida, com atenção maior para </w:t>
      </w:r>
      <w:r w:rsidR="0028535B" w:rsidRPr="00DB7E77">
        <w:rPr>
          <w:rFonts w:asciiTheme="majorHAnsi" w:hAnsiTheme="majorHAnsi" w:cs="Arial"/>
        </w:rPr>
        <w:t xml:space="preserve">as </w:t>
      </w:r>
      <w:r w:rsidRPr="00DB7E77">
        <w:rPr>
          <w:rFonts w:asciiTheme="majorHAnsi" w:hAnsiTheme="majorHAnsi" w:cs="Arial"/>
        </w:rPr>
        <w:t>partes, componentes e acessórios que podem se deteriorar com o tempo;</w:t>
      </w:r>
    </w:p>
    <w:p w14:paraId="6F3E908C" w14:textId="77777777" w:rsidR="00DB7E77" w:rsidRDefault="00042DC1" w:rsidP="00DB7E77">
      <w:pPr>
        <w:pStyle w:val="PargrafodaLista"/>
        <w:numPr>
          <w:ilvl w:val="0"/>
          <w:numId w:val="4"/>
        </w:numPr>
        <w:spacing w:line="360" w:lineRule="auto"/>
        <w:ind w:left="709" w:hanging="283"/>
        <w:jc w:val="both"/>
        <w:rPr>
          <w:rFonts w:asciiTheme="majorHAnsi" w:hAnsiTheme="majorHAnsi" w:cs="Arial"/>
        </w:rPr>
      </w:pPr>
      <w:proofErr w:type="gramStart"/>
      <w:r w:rsidRPr="00DB7E77">
        <w:rPr>
          <w:rFonts w:asciiTheme="majorHAnsi" w:hAnsiTheme="majorHAnsi" w:cs="Arial"/>
        </w:rPr>
        <w:t>cuidados</w:t>
      </w:r>
      <w:proofErr w:type="gramEnd"/>
      <w:r w:rsidRPr="00DB7E77">
        <w:rPr>
          <w:rFonts w:asciiTheme="majorHAnsi" w:hAnsiTheme="majorHAnsi" w:cs="Arial"/>
        </w:rPr>
        <w:t xml:space="preserve"> com os equipamentos de proteção individual (EPI) a serem utilizados pelo operadores dos equipamentos eletromédicos, bem como oferta apropriada de dispositivos de proteção para os pacientes;</w:t>
      </w:r>
    </w:p>
    <w:p w14:paraId="03621AA7" w14:textId="4E3C2B84" w:rsidR="00042DC1" w:rsidRPr="00DB7E77" w:rsidRDefault="00042DC1" w:rsidP="00DB7E77">
      <w:pPr>
        <w:pStyle w:val="PargrafodaLista"/>
        <w:numPr>
          <w:ilvl w:val="0"/>
          <w:numId w:val="4"/>
        </w:numPr>
        <w:spacing w:line="360" w:lineRule="auto"/>
        <w:ind w:left="709" w:hanging="283"/>
        <w:jc w:val="both"/>
        <w:rPr>
          <w:rFonts w:asciiTheme="majorHAnsi" w:hAnsiTheme="majorHAnsi" w:cs="Arial"/>
        </w:rPr>
      </w:pPr>
      <w:proofErr w:type="gramStart"/>
      <w:r w:rsidRPr="00DB7E77">
        <w:rPr>
          <w:rFonts w:asciiTheme="majorHAnsi" w:hAnsiTheme="majorHAnsi" w:cs="Arial"/>
        </w:rPr>
        <w:t>treinamento</w:t>
      </w:r>
      <w:proofErr w:type="gramEnd"/>
      <w:r w:rsidRPr="00DB7E77">
        <w:rPr>
          <w:rFonts w:asciiTheme="majorHAnsi" w:hAnsiTheme="majorHAnsi" w:cs="Arial"/>
        </w:rPr>
        <w:t xml:space="preserve"> para todos os envolvidos na manipulação dos equipamentos e dos dispositivos de segurança e proteção radiológica.</w:t>
      </w:r>
    </w:p>
    <w:p w14:paraId="660DA460" w14:textId="2479DA72" w:rsidR="00042DC1" w:rsidRPr="00A47DF3" w:rsidRDefault="00363C45"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35" w:name="_Toc475089828"/>
      <w:bookmarkStart w:id="136" w:name="_Toc475089953"/>
      <w:bookmarkStart w:id="137" w:name="_Toc475090195"/>
      <w:bookmarkStart w:id="138" w:name="_Toc478923601"/>
      <w:bookmarkStart w:id="139" w:name="_Toc478923961"/>
      <w:bookmarkStart w:id="140" w:name="_Toc478924072"/>
      <w:bookmarkStart w:id="141" w:name="_Toc478924194"/>
      <w:bookmarkStart w:id="142" w:name="_Toc478924999"/>
      <w:bookmarkStart w:id="143" w:name="_Toc478926205"/>
      <w:bookmarkStart w:id="144" w:name="_Toc478926331"/>
      <w:bookmarkStart w:id="145" w:name="_Toc479013870"/>
      <w:bookmarkStart w:id="146" w:name="_Toc482620241"/>
      <w:r w:rsidRPr="00A47DF3">
        <w:rPr>
          <w:rFonts w:ascii="Calibri Light" w:hAnsi="Calibri Light"/>
          <w:color w:val="0066B2"/>
          <w:sz w:val="32"/>
          <w:szCs w:val="32"/>
        </w:rPr>
        <w:t>Normas complementares</w:t>
      </w:r>
      <w:bookmarkEnd w:id="135"/>
      <w:bookmarkEnd w:id="136"/>
      <w:bookmarkEnd w:id="137"/>
      <w:bookmarkEnd w:id="138"/>
      <w:bookmarkEnd w:id="139"/>
      <w:bookmarkEnd w:id="140"/>
      <w:bookmarkEnd w:id="141"/>
      <w:bookmarkEnd w:id="142"/>
      <w:bookmarkEnd w:id="143"/>
      <w:bookmarkEnd w:id="144"/>
      <w:bookmarkEnd w:id="145"/>
      <w:bookmarkEnd w:id="146"/>
    </w:p>
    <w:p w14:paraId="14F5F730" w14:textId="337D3363" w:rsidR="00042DC1" w:rsidRPr="0021622B" w:rsidRDefault="00363C45" w:rsidP="00B125DD">
      <w:pPr>
        <w:spacing w:line="360" w:lineRule="auto"/>
        <w:jc w:val="both"/>
        <w:rPr>
          <w:rFonts w:asciiTheme="majorHAnsi" w:hAnsiTheme="majorHAnsi" w:cs="Arial"/>
        </w:rPr>
      </w:pPr>
      <w:r w:rsidRPr="0021622B">
        <w:rPr>
          <w:rFonts w:asciiTheme="majorHAnsi" w:hAnsiTheme="majorHAnsi" w:cs="Arial"/>
        </w:rPr>
        <w:t>As seguintes normas, ou partes delas, devem ser utilizadas para a completa aplicação desta norma particular. Sem estas normas, os requisitos e critérios não poderão ser apropriadamente compreendidos. Os documentos datados devem ser utilizados na edição indicada, enquanto para os documentos sem data deve ser utilizada a versão mais atual.</w:t>
      </w:r>
    </w:p>
    <w:tbl>
      <w:tblPr>
        <w:tblW w:w="92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0" w:type="dxa"/>
          <w:left w:w="150" w:type="dxa"/>
          <w:bottom w:w="150" w:type="dxa"/>
          <w:right w:w="150" w:type="dxa"/>
        </w:tblCellMar>
        <w:tblLook w:val="04A0" w:firstRow="1" w:lastRow="0" w:firstColumn="1" w:lastColumn="0" w:noHBand="0" w:noVBand="1"/>
      </w:tblPr>
      <w:tblGrid>
        <w:gridCol w:w="1918"/>
        <w:gridCol w:w="7288"/>
      </w:tblGrid>
      <w:tr w:rsidR="00DB7E77" w:rsidRPr="00457F93" w14:paraId="3616AA8B" w14:textId="77777777" w:rsidTr="00DB7E77">
        <w:trPr>
          <w:jc w:val="center"/>
        </w:trPr>
        <w:tc>
          <w:tcPr>
            <w:tcW w:w="1889" w:type="dxa"/>
            <w:shd w:val="clear" w:color="auto" w:fill="095F66"/>
            <w:vAlign w:val="center"/>
            <w:hideMark/>
          </w:tcPr>
          <w:p w14:paraId="63A2149E" w14:textId="77777777" w:rsidR="00DB7E77" w:rsidRPr="00DB7E77" w:rsidRDefault="00DB7E77" w:rsidP="00DB7E77">
            <w:pPr>
              <w:spacing w:after="150" w:line="240" w:lineRule="auto"/>
              <w:jc w:val="center"/>
              <w:rPr>
                <w:rFonts w:asciiTheme="majorHAnsi" w:eastAsia="Times New Roman" w:hAnsiTheme="majorHAnsi" w:cs="Times New Roman"/>
                <w:color w:val="666666"/>
                <w:lang w:eastAsia="pt-BR"/>
              </w:rPr>
            </w:pPr>
            <w:r w:rsidRPr="00DB7E77">
              <w:rPr>
                <w:rFonts w:asciiTheme="majorHAnsi" w:eastAsia="Times New Roman" w:hAnsiTheme="majorHAnsi" w:cs="Times New Roman"/>
                <w:b/>
                <w:bCs/>
                <w:color w:val="FFFFFF"/>
                <w:lang w:eastAsia="pt-BR"/>
              </w:rPr>
              <w:t>IEC 60336</w:t>
            </w:r>
          </w:p>
        </w:tc>
        <w:tc>
          <w:tcPr>
            <w:tcW w:w="7317" w:type="dxa"/>
            <w:shd w:val="clear" w:color="auto" w:fill="FFFFFF"/>
            <w:vAlign w:val="center"/>
            <w:hideMark/>
          </w:tcPr>
          <w:p w14:paraId="5BFDE3BD" w14:textId="77777777" w:rsidR="00DB7E77" w:rsidRPr="00DB7E77" w:rsidRDefault="00DB7E77" w:rsidP="00DB7E77">
            <w:pPr>
              <w:spacing w:after="150" w:line="240" w:lineRule="auto"/>
              <w:rPr>
                <w:rFonts w:asciiTheme="majorHAnsi" w:eastAsia="Times New Roman" w:hAnsiTheme="majorHAnsi" w:cs="Times New Roman"/>
                <w:lang w:val="en-US" w:eastAsia="pt-BR"/>
              </w:rPr>
            </w:pPr>
            <w:r w:rsidRPr="00DB7E77">
              <w:rPr>
                <w:rFonts w:asciiTheme="majorHAnsi" w:eastAsia="Times New Roman" w:hAnsiTheme="majorHAnsi" w:cs="Times New Roman"/>
                <w:lang w:val="en-US" w:eastAsia="pt-BR"/>
              </w:rPr>
              <w:t>Medical electrical equipment – X-ray tube assemblies for medical diagnosis - Characteristics of focal spots.</w:t>
            </w:r>
          </w:p>
        </w:tc>
      </w:tr>
      <w:tr w:rsidR="00DB7E77" w:rsidRPr="00457F93" w14:paraId="0CDFE02A" w14:textId="77777777" w:rsidTr="00DB7E77">
        <w:trPr>
          <w:jc w:val="center"/>
        </w:trPr>
        <w:tc>
          <w:tcPr>
            <w:tcW w:w="0" w:type="auto"/>
            <w:shd w:val="clear" w:color="auto" w:fill="095F66"/>
            <w:vAlign w:val="center"/>
            <w:hideMark/>
          </w:tcPr>
          <w:p w14:paraId="1E996B04" w14:textId="77777777" w:rsidR="00DB7E77" w:rsidRPr="00DB7E77" w:rsidRDefault="00DB7E77" w:rsidP="00DB7E77">
            <w:pPr>
              <w:spacing w:after="150" w:line="240" w:lineRule="auto"/>
              <w:jc w:val="center"/>
              <w:rPr>
                <w:rFonts w:asciiTheme="majorHAnsi" w:eastAsia="Times New Roman" w:hAnsiTheme="majorHAnsi" w:cs="Times New Roman"/>
                <w:color w:val="666666"/>
                <w:lang w:eastAsia="pt-BR"/>
              </w:rPr>
            </w:pPr>
            <w:r w:rsidRPr="00DB7E77">
              <w:rPr>
                <w:rFonts w:asciiTheme="majorHAnsi" w:eastAsia="Times New Roman" w:hAnsiTheme="majorHAnsi" w:cs="Times New Roman"/>
                <w:b/>
                <w:bCs/>
                <w:color w:val="FFFFFF"/>
                <w:lang w:eastAsia="pt-BR"/>
              </w:rPr>
              <w:t>IEC 60522:1999 </w:t>
            </w:r>
          </w:p>
        </w:tc>
        <w:tc>
          <w:tcPr>
            <w:tcW w:w="7317" w:type="dxa"/>
            <w:shd w:val="clear" w:color="auto" w:fill="FFFFFF"/>
            <w:vAlign w:val="center"/>
            <w:hideMark/>
          </w:tcPr>
          <w:p w14:paraId="7EAB4E18" w14:textId="77777777" w:rsidR="00DB7E77" w:rsidRPr="00DB7E77" w:rsidRDefault="00DB7E77" w:rsidP="00DB7E77">
            <w:pPr>
              <w:spacing w:after="150" w:line="240" w:lineRule="auto"/>
              <w:rPr>
                <w:rFonts w:asciiTheme="majorHAnsi" w:eastAsia="Times New Roman" w:hAnsiTheme="majorHAnsi" w:cs="Times New Roman"/>
                <w:lang w:val="en-US" w:eastAsia="pt-BR"/>
              </w:rPr>
            </w:pPr>
            <w:r w:rsidRPr="00DB7E77">
              <w:rPr>
                <w:rFonts w:asciiTheme="majorHAnsi" w:eastAsia="Times New Roman" w:hAnsiTheme="majorHAnsi" w:cs="Times New Roman"/>
                <w:lang w:val="en-US" w:eastAsia="pt-BR"/>
              </w:rPr>
              <w:t> Determination of the permanent filtration of X-ray tube assemblies.</w:t>
            </w:r>
          </w:p>
        </w:tc>
      </w:tr>
      <w:tr w:rsidR="00DB7E77" w:rsidRPr="00457F93" w14:paraId="588C620B" w14:textId="77777777" w:rsidTr="00DB7E77">
        <w:trPr>
          <w:jc w:val="center"/>
        </w:trPr>
        <w:tc>
          <w:tcPr>
            <w:tcW w:w="0" w:type="auto"/>
            <w:shd w:val="clear" w:color="auto" w:fill="095F66"/>
            <w:vAlign w:val="center"/>
            <w:hideMark/>
          </w:tcPr>
          <w:p w14:paraId="03A75F0A" w14:textId="77777777" w:rsidR="00DB7E77" w:rsidRPr="00DB7E77" w:rsidRDefault="00DB7E77" w:rsidP="00DB7E77">
            <w:pPr>
              <w:spacing w:after="150" w:line="240" w:lineRule="auto"/>
              <w:jc w:val="center"/>
              <w:rPr>
                <w:rFonts w:asciiTheme="majorHAnsi" w:eastAsia="Times New Roman" w:hAnsiTheme="majorHAnsi" w:cs="Times New Roman"/>
                <w:color w:val="666666"/>
                <w:lang w:eastAsia="pt-BR"/>
              </w:rPr>
            </w:pPr>
            <w:r w:rsidRPr="00DB7E77">
              <w:rPr>
                <w:rFonts w:asciiTheme="majorHAnsi" w:eastAsia="Times New Roman" w:hAnsiTheme="majorHAnsi" w:cs="Times New Roman"/>
                <w:b/>
                <w:bCs/>
                <w:color w:val="FFFFFF"/>
                <w:lang w:eastAsia="pt-BR"/>
              </w:rPr>
              <w:t>IEC 60601-1:2012 </w:t>
            </w:r>
          </w:p>
        </w:tc>
        <w:tc>
          <w:tcPr>
            <w:tcW w:w="7317" w:type="dxa"/>
            <w:shd w:val="clear" w:color="auto" w:fill="FFFFFF"/>
            <w:vAlign w:val="center"/>
            <w:hideMark/>
          </w:tcPr>
          <w:p w14:paraId="46F5A374" w14:textId="77777777" w:rsidR="00DB7E77" w:rsidRPr="00DB7E77" w:rsidRDefault="00DB7E77" w:rsidP="00DB7E77">
            <w:pPr>
              <w:spacing w:after="150" w:line="240" w:lineRule="auto"/>
              <w:rPr>
                <w:rFonts w:asciiTheme="majorHAnsi" w:eastAsia="Times New Roman" w:hAnsiTheme="majorHAnsi" w:cs="Times New Roman"/>
                <w:lang w:val="en-US" w:eastAsia="pt-BR"/>
              </w:rPr>
            </w:pPr>
            <w:r w:rsidRPr="00DB7E77">
              <w:rPr>
                <w:rFonts w:asciiTheme="majorHAnsi" w:eastAsia="Times New Roman" w:hAnsiTheme="majorHAnsi" w:cs="Times New Roman"/>
                <w:lang w:val="en-US" w:eastAsia="pt-BR"/>
              </w:rPr>
              <w:t>Medical electrical equipment – Part 1: General requirements for basic safety and essential performance.</w:t>
            </w:r>
          </w:p>
        </w:tc>
      </w:tr>
      <w:tr w:rsidR="00DB7E77" w:rsidRPr="00457F93" w14:paraId="6A41C4AD" w14:textId="77777777" w:rsidTr="00DB7E77">
        <w:trPr>
          <w:jc w:val="center"/>
        </w:trPr>
        <w:tc>
          <w:tcPr>
            <w:tcW w:w="0" w:type="auto"/>
            <w:shd w:val="clear" w:color="auto" w:fill="095F66"/>
            <w:vAlign w:val="center"/>
            <w:hideMark/>
          </w:tcPr>
          <w:p w14:paraId="1C9A3616" w14:textId="77777777" w:rsidR="00DB7E77" w:rsidRPr="00DB7E77" w:rsidRDefault="00DB7E77" w:rsidP="00DB7E77">
            <w:pPr>
              <w:spacing w:after="0" w:line="240" w:lineRule="auto"/>
              <w:jc w:val="center"/>
              <w:rPr>
                <w:rFonts w:asciiTheme="majorHAnsi" w:eastAsia="Times New Roman" w:hAnsiTheme="majorHAnsi" w:cs="Times New Roman"/>
                <w:color w:val="666666"/>
                <w:lang w:eastAsia="pt-BR"/>
              </w:rPr>
            </w:pPr>
            <w:r w:rsidRPr="00DB7E77">
              <w:rPr>
                <w:rFonts w:asciiTheme="majorHAnsi" w:eastAsia="Times New Roman" w:hAnsiTheme="majorHAnsi" w:cs="Times New Roman"/>
                <w:b/>
                <w:bCs/>
                <w:color w:val="FFFFFF"/>
                <w:lang w:eastAsia="pt-BR"/>
              </w:rPr>
              <w:t>IEC 60788:2004 </w:t>
            </w:r>
          </w:p>
        </w:tc>
        <w:tc>
          <w:tcPr>
            <w:tcW w:w="7317" w:type="dxa"/>
            <w:shd w:val="clear" w:color="auto" w:fill="FFFFFF"/>
            <w:vAlign w:val="center"/>
            <w:hideMark/>
          </w:tcPr>
          <w:p w14:paraId="6319A7A8" w14:textId="77777777" w:rsidR="00DB7E77" w:rsidRPr="00DB7E77" w:rsidRDefault="00DB7E77" w:rsidP="00DB7E77">
            <w:pPr>
              <w:spacing w:after="0" w:line="240" w:lineRule="auto"/>
              <w:rPr>
                <w:rFonts w:asciiTheme="majorHAnsi" w:eastAsia="Times New Roman" w:hAnsiTheme="majorHAnsi" w:cs="Times New Roman"/>
                <w:lang w:val="en-US" w:eastAsia="pt-BR"/>
              </w:rPr>
            </w:pPr>
            <w:r w:rsidRPr="00DB7E77">
              <w:rPr>
                <w:rFonts w:asciiTheme="majorHAnsi" w:eastAsia="Times New Roman" w:hAnsiTheme="majorHAnsi" w:cs="Times New Roman"/>
                <w:lang w:val="en-US" w:eastAsia="pt-BR"/>
              </w:rPr>
              <w:t>Medical electrical equipment – Glossary of defined terms.</w:t>
            </w:r>
          </w:p>
        </w:tc>
      </w:tr>
      <w:tr w:rsidR="00DB7E77" w:rsidRPr="00457F93" w14:paraId="070B8FDB" w14:textId="77777777" w:rsidTr="00DB7E77">
        <w:trPr>
          <w:jc w:val="center"/>
        </w:trPr>
        <w:tc>
          <w:tcPr>
            <w:tcW w:w="0" w:type="auto"/>
            <w:shd w:val="clear" w:color="auto" w:fill="095F66"/>
            <w:vAlign w:val="center"/>
            <w:hideMark/>
          </w:tcPr>
          <w:p w14:paraId="78230938" w14:textId="77777777" w:rsidR="00DB7E77" w:rsidRPr="00DB7E77" w:rsidRDefault="00DB7E77" w:rsidP="00DB7E77">
            <w:pPr>
              <w:spacing w:after="0" w:line="240" w:lineRule="auto"/>
              <w:jc w:val="center"/>
              <w:rPr>
                <w:rFonts w:asciiTheme="majorHAnsi" w:eastAsia="Times New Roman" w:hAnsiTheme="majorHAnsi" w:cs="Times New Roman"/>
                <w:color w:val="666666"/>
                <w:lang w:eastAsia="pt-BR"/>
              </w:rPr>
            </w:pPr>
            <w:r w:rsidRPr="00DB7E77">
              <w:rPr>
                <w:rFonts w:asciiTheme="majorHAnsi" w:eastAsia="Times New Roman" w:hAnsiTheme="majorHAnsi" w:cs="Times New Roman"/>
                <w:b/>
                <w:bCs/>
                <w:color w:val="FFFFFF"/>
                <w:lang w:eastAsia="pt-BR"/>
              </w:rPr>
              <w:lastRenderedPageBreak/>
              <w:t>ISO 497</w:t>
            </w:r>
          </w:p>
        </w:tc>
        <w:tc>
          <w:tcPr>
            <w:tcW w:w="7317" w:type="dxa"/>
            <w:shd w:val="clear" w:color="auto" w:fill="FFFFFF"/>
            <w:vAlign w:val="center"/>
            <w:hideMark/>
          </w:tcPr>
          <w:p w14:paraId="7325AA84" w14:textId="77777777" w:rsidR="00DB7E77" w:rsidRPr="00DB7E77" w:rsidRDefault="00DB7E77" w:rsidP="00DB7E77">
            <w:pPr>
              <w:spacing w:after="150" w:line="240" w:lineRule="auto"/>
              <w:rPr>
                <w:rFonts w:asciiTheme="majorHAnsi" w:eastAsia="Times New Roman" w:hAnsiTheme="majorHAnsi" w:cs="Times New Roman"/>
                <w:lang w:val="en-US" w:eastAsia="pt-BR"/>
              </w:rPr>
            </w:pPr>
            <w:r w:rsidRPr="00DB7E77">
              <w:rPr>
                <w:rFonts w:asciiTheme="majorHAnsi" w:eastAsia="Times New Roman" w:hAnsiTheme="majorHAnsi" w:cs="Times New Roman"/>
                <w:lang w:val="en-US" w:eastAsia="pt-BR"/>
              </w:rPr>
              <w:t>Guide to the choice of series of preferred numbers and of series containing more rounded values of preferred numbers.</w:t>
            </w:r>
          </w:p>
        </w:tc>
      </w:tr>
    </w:tbl>
    <w:p w14:paraId="7690454A" w14:textId="77777777" w:rsidR="00016AA8" w:rsidRPr="00DB7E77" w:rsidRDefault="00016AA8" w:rsidP="00B125DD">
      <w:pPr>
        <w:spacing w:line="360" w:lineRule="auto"/>
        <w:ind w:firstLine="567"/>
        <w:jc w:val="both"/>
        <w:rPr>
          <w:rFonts w:asciiTheme="majorHAnsi" w:hAnsiTheme="majorHAnsi" w:cs="Arial"/>
          <w:lang w:val="en-US"/>
        </w:rPr>
      </w:pPr>
    </w:p>
    <w:p w14:paraId="6E123A11" w14:textId="7580A3A6" w:rsidR="00D932A0" w:rsidRPr="00A47DF3" w:rsidRDefault="00D932A0"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47" w:name="_Toc475089829"/>
      <w:bookmarkStart w:id="148" w:name="_Toc475089954"/>
      <w:bookmarkStart w:id="149" w:name="_Toc475090196"/>
      <w:bookmarkStart w:id="150" w:name="_Toc478923602"/>
      <w:bookmarkStart w:id="151" w:name="_Toc478923962"/>
      <w:bookmarkStart w:id="152" w:name="_Toc478924073"/>
      <w:bookmarkStart w:id="153" w:name="_Toc478924195"/>
      <w:bookmarkStart w:id="154" w:name="_Toc478925000"/>
      <w:bookmarkStart w:id="155" w:name="_Toc478926206"/>
      <w:bookmarkStart w:id="156" w:name="_Toc478926332"/>
      <w:bookmarkStart w:id="157" w:name="_Toc479013871"/>
      <w:bookmarkStart w:id="158" w:name="_Toc482620242"/>
      <w:r w:rsidRPr="00A47DF3">
        <w:rPr>
          <w:rFonts w:ascii="Calibri Light" w:hAnsi="Calibri Light"/>
          <w:color w:val="0066B2"/>
          <w:sz w:val="32"/>
          <w:szCs w:val="32"/>
        </w:rPr>
        <w:t>O que medir para avaliar a proteção contra radiação ionizante</w:t>
      </w:r>
      <w:bookmarkEnd w:id="147"/>
      <w:bookmarkEnd w:id="148"/>
      <w:bookmarkEnd w:id="149"/>
      <w:bookmarkEnd w:id="150"/>
      <w:bookmarkEnd w:id="151"/>
      <w:bookmarkEnd w:id="152"/>
      <w:bookmarkEnd w:id="153"/>
      <w:bookmarkEnd w:id="154"/>
      <w:bookmarkEnd w:id="155"/>
      <w:bookmarkEnd w:id="156"/>
      <w:bookmarkEnd w:id="157"/>
      <w:bookmarkEnd w:id="158"/>
    </w:p>
    <w:p w14:paraId="4C4A8175" w14:textId="53EED954" w:rsidR="00D932A0" w:rsidRPr="0021622B" w:rsidRDefault="00D932A0" w:rsidP="00B125DD">
      <w:pPr>
        <w:spacing w:line="360" w:lineRule="auto"/>
        <w:jc w:val="both"/>
        <w:rPr>
          <w:rFonts w:asciiTheme="majorHAnsi" w:hAnsiTheme="majorHAnsi" w:cs="Arial"/>
        </w:rPr>
      </w:pPr>
      <w:r w:rsidRPr="0021622B">
        <w:rPr>
          <w:rFonts w:asciiTheme="majorHAnsi" w:hAnsiTheme="majorHAnsi" w:cs="Arial"/>
        </w:rPr>
        <w:t>A geração da radiação é a maior preocupação que o fabricante deve ter ao estabelecer o gerenciamento de risco dos equipamentos que geram radiação ionizante. O</w:t>
      </w:r>
      <w:r w:rsidR="0028535B" w:rsidRPr="0021622B">
        <w:rPr>
          <w:rFonts w:asciiTheme="majorHAnsi" w:hAnsiTheme="majorHAnsi" w:cs="Arial"/>
        </w:rPr>
        <w:t>s</w:t>
      </w:r>
      <w:r w:rsidRPr="0021622B">
        <w:rPr>
          <w:rFonts w:asciiTheme="majorHAnsi" w:hAnsiTheme="majorHAnsi" w:cs="Arial"/>
        </w:rPr>
        <w:t xml:space="preserve"> momento</w:t>
      </w:r>
      <w:r w:rsidR="0028535B" w:rsidRPr="0021622B">
        <w:rPr>
          <w:rFonts w:asciiTheme="majorHAnsi" w:hAnsiTheme="majorHAnsi" w:cs="Arial"/>
        </w:rPr>
        <w:t>s</w:t>
      </w:r>
      <w:r w:rsidRPr="0021622B">
        <w:rPr>
          <w:rFonts w:asciiTheme="majorHAnsi" w:hAnsiTheme="majorHAnsi" w:cs="Arial"/>
        </w:rPr>
        <w:t xml:space="preserve"> em que a radiação se inicia</w:t>
      </w:r>
      <w:r w:rsidR="0028535B" w:rsidRPr="0021622B">
        <w:rPr>
          <w:rFonts w:asciiTheme="majorHAnsi" w:hAnsiTheme="majorHAnsi" w:cs="Arial"/>
        </w:rPr>
        <w:t xml:space="preserve"> e</w:t>
      </w:r>
      <w:r w:rsidRPr="0021622B">
        <w:rPr>
          <w:rFonts w:asciiTheme="majorHAnsi" w:hAnsiTheme="majorHAnsi" w:cs="Arial"/>
        </w:rPr>
        <w:t xml:space="preserve"> se encerra devem ser muito bem sinalizados pelo equipamento. A avaliação da conformidade quanto a este requisito deve ser feita medindo-se </w:t>
      </w:r>
      <w:r w:rsidR="000D6C3A" w:rsidRPr="0021622B">
        <w:rPr>
          <w:rFonts w:asciiTheme="majorHAnsi" w:hAnsiTheme="majorHAnsi" w:cs="Arial"/>
        </w:rPr>
        <w:t>o nível d</w:t>
      </w:r>
      <w:r w:rsidRPr="0021622B">
        <w:rPr>
          <w:rFonts w:asciiTheme="majorHAnsi" w:hAnsiTheme="majorHAnsi" w:cs="Arial"/>
        </w:rPr>
        <w:t xml:space="preserve">a radiação fora do período de </w:t>
      </w:r>
      <w:r w:rsidR="000D6C3A" w:rsidRPr="0021622B">
        <w:rPr>
          <w:rFonts w:asciiTheme="majorHAnsi" w:hAnsiTheme="majorHAnsi" w:cs="Arial"/>
        </w:rPr>
        <w:t>emissão radioativa</w:t>
      </w:r>
      <w:r w:rsidRPr="0021622B">
        <w:rPr>
          <w:rFonts w:asciiTheme="majorHAnsi" w:hAnsiTheme="majorHAnsi" w:cs="Arial"/>
        </w:rPr>
        <w:t xml:space="preserve"> e deve estar abaixo de limites seguros segundo as especificidades de cada equipamento e</w:t>
      </w:r>
      <w:r w:rsidR="0028535B" w:rsidRPr="0021622B">
        <w:rPr>
          <w:rFonts w:asciiTheme="majorHAnsi" w:hAnsiTheme="majorHAnsi" w:cs="Arial"/>
        </w:rPr>
        <w:t xml:space="preserve"> de</w:t>
      </w:r>
      <w:r w:rsidRPr="0021622B">
        <w:rPr>
          <w:rFonts w:asciiTheme="majorHAnsi" w:hAnsiTheme="majorHAnsi" w:cs="Arial"/>
        </w:rPr>
        <w:t xml:space="preserve"> seu uso pretendido, definidos em normas particulares.</w:t>
      </w:r>
    </w:p>
    <w:p w14:paraId="1F42C0CC" w14:textId="250E2051" w:rsidR="00D932A0" w:rsidRPr="0021622B" w:rsidRDefault="00D932A0" w:rsidP="00B125DD">
      <w:pPr>
        <w:spacing w:line="360" w:lineRule="auto"/>
        <w:jc w:val="both"/>
        <w:rPr>
          <w:rFonts w:asciiTheme="majorHAnsi" w:hAnsiTheme="majorHAnsi" w:cs="Arial"/>
        </w:rPr>
      </w:pPr>
      <w:r w:rsidRPr="0021622B">
        <w:rPr>
          <w:rFonts w:asciiTheme="majorHAnsi" w:hAnsiTheme="majorHAnsi" w:cs="Arial"/>
        </w:rPr>
        <w:t>A qualidade da radiação também deve ser avalia</w:t>
      </w:r>
      <w:r w:rsidR="00685301" w:rsidRPr="0021622B">
        <w:rPr>
          <w:rFonts w:asciiTheme="majorHAnsi" w:hAnsiTheme="majorHAnsi" w:cs="Arial"/>
        </w:rPr>
        <w:t xml:space="preserve">da, </w:t>
      </w:r>
      <w:r w:rsidR="00E053B4" w:rsidRPr="0021622B">
        <w:rPr>
          <w:rFonts w:asciiTheme="majorHAnsi" w:hAnsiTheme="majorHAnsi" w:cs="Arial"/>
        </w:rPr>
        <w:t>sendo</w:t>
      </w:r>
      <w:r w:rsidR="00685301" w:rsidRPr="0021622B">
        <w:rPr>
          <w:rFonts w:asciiTheme="majorHAnsi" w:hAnsiTheme="majorHAnsi" w:cs="Arial"/>
        </w:rPr>
        <w:t xml:space="preserve"> seus parâmetros principais definidos pelo fabricante e avaliados por ocasião dos ensaios de avaliação da conformidade.</w:t>
      </w:r>
    </w:p>
    <w:p w14:paraId="0541409F" w14:textId="1667521C" w:rsidR="00685301" w:rsidRPr="0021622B" w:rsidRDefault="00685301" w:rsidP="00B125DD">
      <w:pPr>
        <w:spacing w:line="360" w:lineRule="auto"/>
        <w:jc w:val="both"/>
        <w:rPr>
          <w:rFonts w:asciiTheme="majorHAnsi" w:hAnsiTheme="majorHAnsi" w:cs="Arial"/>
        </w:rPr>
      </w:pPr>
      <w:r w:rsidRPr="0021622B">
        <w:rPr>
          <w:rFonts w:asciiTheme="majorHAnsi" w:hAnsiTheme="majorHAnsi" w:cs="Arial"/>
        </w:rPr>
        <w:t>As medições devem ainda contemplar a distância entre o ponto focal da radiação e a superfície de contato com o paciente</w:t>
      </w:r>
      <w:r w:rsidR="000D6C3A" w:rsidRPr="0021622B">
        <w:rPr>
          <w:rFonts w:asciiTheme="majorHAnsi" w:hAnsiTheme="majorHAnsi" w:cs="Arial"/>
        </w:rPr>
        <w:t>, normalmente a pele ou mucosa</w:t>
      </w:r>
      <w:r w:rsidRPr="0021622B">
        <w:rPr>
          <w:rFonts w:asciiTheme="majorHAnsi" w:hAnsiTheme="majorHAnsi" w:cs="Arial"/>
        </w:rPr>
        <w:t>.</w:t>
      </w:r>
    </w:p>
    <w:p w14:paraId="40B154E2" w14:textId="2F8DD810" w:rsidR="00D932A0" w:rsidRPr="0021622B" w:rsidRDefault="00685301" w:rsidP="00B125DD">
      <w:pPr>
        <w:spacing w:line="360" w:lineRule="auto"/>
        <w:jc w:val="both"/>
        <w:rPr>
          <w:rFonts w:asciiTheme="majorHAnsi" w:hAnsiTheme="majorHAnsi" w:cs="Arial"/>
        </w:rPr>
      </w:pPr>
      <w:r w:rsidRPr="0021622B">
        <w:rPr>
          <w:rFonts w:asciiTheme="majorHAnsi" w:hAnsiTheme="majorHAnsi" w:cs="Arial"/>
        </w:rPr>
        <w:t xml:space="preserve">O vazamento de radiação, </w:t>
      </w:r>
      <w:r w:rsidR="00E053B4" w:rsidRPr="0021622B">
        <w:rPr>
          <w:rFonts w:asciiTheme="majorHAnsi" w:hAnsiTheme="majorHAnsi" w:cs="Arial"/>
        </w:rPr>
        <w:t xml:space="preserve">a </w:t>
      </w:r>
      <w:r w:rsidRPr="0021622B">
        <w:rPr>
          <w:rFonts w:asciiTheme="majorHAnsi" w:hAnsiTheme="majorHAnsi" w:cs="Arial"/>
        </w:rPr>
        <w:t xml:space="preserve">radiação direcionada para além da região a ser radiada ou </w:t>
      </w:r>
      <w:r w:rsidR="00E053B4" w:rsidRPr="0021622B">
        <w:rPr>
          <w:rFonts w:asciiTheme="majorHAnsi" w:hAnsiTheme="majorHAnsi" w:cs="Arial"/>
        </w:rPr>
        <w:t xml:space="preserve">a radiação </w:t>
      </w:r>
      <w:r w:rsidRPr="0021622B">
        <w:rPr>
          <w:rFonts w:asciiTheme="majorHAnsi" w:hAnsiTheme="majorHAnsi" w:cs="Arial"/>
        </w:rPr>
        <w:t>em quantidades além das previstas e documentadas não podem acontecer</w:t>
      </w:r>
      <w:r w:rsidR="00E053B4" w:rsidRPr="0021622B">
        <w:rPr>
          <w:rFonts w:asciiTheme="majorHAnsi" w:hAnsiTheme="majorHAnsi" w:cs="Arial"/>
        </w:rPr>
        <w:t xml:space="preserve">. Logo, </w:t>
      </w:r>
      <w:r w:rsidRPr="0021622B">
        <w:rPr>
          <w:rFonts w:asciiTheme="majorHAnsi" w:hAnsiTheme="majorHAnsi" w:cs="Arial"/>
        </w:rPr>
        <w:t>os ensaios devem seguir um roteiro bem definido a fim de se avaliar estes requisitos.</w:t>
      </w:r>
    </w:p>
    <w:p w14:paraId="6C482B42" w14:textId="43684B87" w:rsidR="003E6B1F" w:rsidRPr="00A47DF3" w:rsidRDefault="003E6B1F" w:rsidP="00F00ED4">
      <w:pPr>
        <w:pStyle w:val="Ttulo1"/>
        <w:numPr>
          <w:ilvl w:val="0"/>
          <w:numId w:val="6"/>
        </w:numPr>
        <w:spacing w:after="240" w:line="276" w:lineRule="auto"/>
        <w:ind w:left="426" w:hanging="426"/>
        <w:rPr>
          <w:rFonts w:ascii="Calibri Light" w:hAnsi="Calibri Light"/>
          <w:b/>
          <w:color w:val="0066B2"/>
        </w:rPr>
      </w:pPr>
      <w:bookmarkStart w:id="159" w:name="_Toc475089830"/>
      <w:bookmarkStart w:id="160" w:name="_Toc475089955"/>
      <w:bookmarkStart w:id="161" w:name="_Toc475090197"/>
      <w:bookmarkStart w:id="162" w:name="_Toc478923603"/>
      <w:bookmarkStart w:id="163" w:name="_Toc478923963"/>
      <w:bookmarkStart w:id="164" w:name="_Toc478924074"/>
      <w:bookmarkStart w:id="165" w:name="_Toc478924196"/>
      <w:bookmarkStart w:id="166" w:name="_Toc478925001"/>
      <w:bookmarkStart w:id="167" w:name="_Toc478926207"/>
      <w:bookmarkStart w:id="168" w:name="_Toc478926333"/>
      <w:bookmarkStart w:id="169" w:name="_Toc479013872"/>
      <w:bookmarkStart w:id="170" w:name="_Toc482620243"/>
      <w:r w:rsidRPr="00A47DF3">
        <w:rPr>
          <w:rFonts w:ascii="Calibri Light" w:hAnsi="Calibri Light"/>
          <w:b/>
          <w:color w:val="0066B2"/>
        </w:rPr>
        <w:t xml:space="preserve">Norma colateral 60601-1-6 – </w:t>
      </w:r>
      <w:proofErr w:type="spellStart"/>
      <w:r w:rsidRPr="00A47DF3">
        <w:rPr>
          <w:rFonts w:ascii="Calibri Light" w:hAnsi="Calibri Light"/>
          <w:b/>
          <w:i/>
          <w:color w:val="0066B2"/>
        </w:rPr>
        <w:t>Usability</w:t>
      </w:r>
      <w:bookmarkEnd w:id="159"/>
      <w:bookmarkEnd w:id="160"/>
      <w:bookmarkEnd w:id="161"/>
      <w:bookmarkEnd w:id="162"/>
      <w:bookmarkEnd w:id="163"/>
      <w:bookmarkEnd w:id="164"/>
      <w:bookmarkEnd w:id="165"/>
      <w:bookmarkEnd w:id="166"/>
      <w:bookmarkEnd w:id="167"/>
      <w:bookmarkEnd w:id="168"/>
      <w:bookmarkEnd w:id="169"/>
      <w:bookmarkEnd w:id="170"/>
      <w:proofErr w:type="spellEnd"/>
    </w:p>
    <w:p w14:paraId="61E862D1" w14:textId="7450C2D9" w:rsidR="003E6B1F" w:rsidRPr="0021622B" w:rsidRDefault="000A5551" w:rsidP="00B125DD">
      <w:pPr>
        <w:spacing w:line="360" w:lineRule="auto"/>
        <w:jc w:val="both"/>
        <w:rPr>
          <w:rFonts w:asciiTheme="majorHAnsi" w:hAnsiTheme="majorHAnsi" w:cs="Arial"/>
        </w:rPr>
      </w:pPr>
      <w:r w:rsidRPr="0021622B">
        <w:rPr>
          <w:rFonts w:asciiTheme="majorHAnsi" w:hAnsiTheme="majorHAnsi" w:cs="Arial"/>
        </w:rPr>
        <w:t xml:space="preserve">A edição atual desta norma colateral é a 3.1, ou seja, </w:t>
      </w:r>
      <w:r w:rsidR="00B26B85" w:rsidRPr="0021622B">
        <w:rPr>
          <w:rFonts w:asciiTheme="majorHAnsi" w:hAnsiTheme="majorHAnsi" w:cs="Arial"/>
        </w:rPr>
        <w:t xml:space="preserve">é a primeira revisão da terceira edição e </w:t>
      </w:r>
      <w:r w:rsidR="00817B4B" w:rsidRPr="0021622B">
        <w:rPr>
          <w:rFonts w:asciiTheme="majorHAnsi" w:hAnsiTheme="majorHAnsi" w:cs="Arial"/>
        </w:rPr>
        <w:t xml:space="preserve">foi </w:t>
      </w:r>
      <w:r w:rsidR="00B26B85" w:rsidRPr="0021622B">
        <w:rPr>
          <w:rFonts w:asciiTheme="majorHAnsi" w:hAnsiTheme="majorHAnsi" w:cs="Arial"/>
        </w:rPr>
        <w:t xml:space="preserve">publicada em 2013. Na sua terceira edição, ela passou a funcionar como uma ponte entre a norma geral e as normas técnicas IEC 62366-1 – </w:t>
      </w:r>
      <w:r w:rsidR="00B26B85" w:rsidRPr="0021622B">
        <w:rPr>
          <w:rFonts w:asciiTheme="majorHAnsi" w:hAnsiTheme="majorHAnsi" w:cs="Arial"/>
          <w:i/>
        </w:rPr>
        <w:t xml:space="preserve">Medical </w:t>
      </w:r>
      <w:proofErr w:type="spellStart"/>
      <w:r w:rsidR="00B26B85" w:rsidRPr="0021622B">
        <w:rPr>
          <w:rFonts w:asciiTheme="majorHAnsi" w:hAnsiTheme="majorHAnsi" w:cs="Arial"/>
          <w:i/>
        </w:rPr>
        <w:t>devices</w:t>
      </w:r>
      <w:proofErr w:type="spellEnd"/>
      <w:r w:rsidR="00B26B85" w:rsidRPr="0021622B">
        <w:rPr>
          <w:rFonts w:asciiTheme="majorHAnsi" w:hAnsiTheme="majorHAnsi" w:cs="Arial"/>
          <w:i/>
        </w:rPr>
        <w:t xml:space="preserve"> – </w:t>
      </w:r>
      <w:proofErr w:type="spellStart"/>
      <w:r w:rsidR="00B26B85" w:rsidRPr="0021622B">
        <w:rPr>
          <w:rFonts w:asciiTheme="majorHAnsi" w:hAnsiTheme="majorHAnsi" w:cs="Arial"/>
          <w:i/>
        </w:rPr>
        <w:t>Part</w:t>
      </w:r>
      <w:proofErr w:type="spellEnd"/>
      <w:r w:rsidR="00B26B85" w:rsidRPr="0021622B">
        <w:rPr>
          <w:rFonts w:asciiTheme="majorHAnsi" w:hAnsiTheme="majorHAnsi" w:cs="Arial"/>
          <w:i/>
        </w:rPr>
        <w:t xml:space="preserve"> 1: </w:t>
      </w:r>
      <w:proofErr w:type="spellStart"/>
      <w:r w:rsidR="00B26B85" w:rsidRPr="0021622B">
        <w:rPr>
          <w:rFonts w:asciiTheme="majorHAnsi" w:hAnsiTheme="majorHAnsi" w:cs="Arial"/>
          <w:i/>
        </w:rPr>
        <w:t>Application</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of</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usability</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engineering</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to</w:t>
      </w:r>
      <w:proofErr w:type="spellEnd"/>
      <w:r w:rsidR="00B26B85" w:rsidRPr="0021622B">
        <w:rPr>
          <w:rFonts w:asciiTheme="majorHAnsi" w:hAnsiTheme="majorHAnsi" w:cs="Arial"/>
          <w:i/>
        </w:rPr>
        <w:t xml:space="preserve"> medical </w:t>
      </w:r>
      <w:proofErr w:type="spellStart"/>
      <w:r w:rsidR="00B26B85" w:rsidRPr="0021622B">
        <w:rPr>
          <w:rFonts w:asciiTheme="majorHAnsi" w:hAnsiTheme="majorHAnsi" w:cs="Arial"/>
          <w:i/>
        </w:rPr>
        <w:t>devices</w:t>
      </w:r>
      <w:proofErr w:type="spellEnd"/>
      <w:r w:rsidR="00B26B85" w:rsidRPr="0021622B">
        <w:rPr>
          <w:rFonts w:asciiTheme="majorHAnsi" w:hAnsiTheme="majorHAnsi" w:cs="Arial"/>
        </w:rPr>
        <w:t xml:space="preserve"> e IEC TR 62366-2 – </w:t>
      </w:r>
      <w:r w:rsidR="00B26B85" w:rsidRPr="0021622B">
        <w:rPr>
          <w:rFonts w:asciiTheme="majorHAnsi" w:hAnsiTheme="majorHAnsi" w:cs="Arial"/>
          <w:i/>
        </w:rPr>
        <w:t xml:space="preserve">Medical </w:t>
      </w:r>
      <w:proofErr w:type="spellStart"/>
      <w:r w:rsidR="00B26B85" w:rsidRPr="0021622B">
        <w:rPr>
          <w:rFonts w:asciiTheme="majorHAnsi" w:hAnsiTheme="majorHAnsi" w:cs="Arial"/>
          <w:i/>
        </w:rPr>
        <w:t>devices</w:t>
      </w:r>
      <w:proofErr w:type="spellEnd"/>
      <w:r w:rsidR="00B26B85" w:rsidRPr="0021622B">
        <w:rPr>
          <w:rFonts w:asciiTheme="majorHAnsi" w:hAnsiTheme="majorHAnsi" w:cs="Arial"/>
          <w:i/>
        </w:rPr>
        <w:t xml:space="preserve"> - </w:t>
      </w:r>
      <w:proofErr w:type="spellStart"/>
      <w:r w:rsidR="00B26B85" w:rsidRPr="0021622B">
        <w:rPr>
          <w:rFonts w:asciiTheme="majorHAnsi" w:hAnsiTheme="majorHAnsi" w:cs="Arial"/>
          <w:i/>
        </w:rPr>
        <w:t>Part</w:t>
      </w:r>
      <w:proofErr w:type="spellEnd"/>
      <w:r w:rsidR="00B26B85" w:rsidRPr="0021622B">
        <w:rPr>
          <w:rFonts w:asciiTheme="majorHAnsi" w:hAnsiTheme="majorHAnsi" w:cs="Arial"/>
          <w:i/>
        </w:rPr>
        <w:t xml:space="preserve"> 2: </w:t>
      </w:r>
      <w:proofErr w:type="spellStart"/>
      <w:r w:rsidR="00B26B85" w:rsidRPr="0021622B">
        <w:rPr>
          <w:rFonts w:asciiTheme="majorHAnsi" w:hAnsiTheme="majorHAnsi" w:cs="Arial"/>
          <w:i/>
        </w:rPr>
        <w:t>Guidance</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on</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the</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application</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of</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usability</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engineering</w:t>
      </w:r>
      <w:proofErr w:type="spellEnd"/>
      <w:r w:rsidR="00B26B85" w:rsidRPr="0021622B">
        <w:rPr>
          <w:rFonts w:asciiTheme="majorHAnsi" w:hAnsiTheme="majorHAnsi" w:cs="Arial"/>
          <w:i/>
        </w:rPr>
        <w:t xml:space="preserve"> </w:t>
      </w:r>
      <w:proofErr w:type="spellStart"/>
      <w:r w:rsidR="00B26B85" w:rsidRPr="0021622B">
        <w:rPr>
          <w:rFonts w:asciiTheme="majorHAnsi" w:hAnsiTheme="majorHAnsi" w:cs="Arial"/>
          <w:i/>
        </w:rPr>
        <w:t>to</w:t>
      </w:r>
      <w:proofErr w:type="spellEnd"/>
      <w:r w:rsidR="00B26B85" w:rsidRPr="0021622B">
        <w:rPr>
          <w:rFonts w:asciiTheme="majorHAnsi" w:hAnsiTheme="majorHAnsi" w:cs="Arial"/>
          <w:i/>
        </w:rPr>
        <w:t xml:space="preserve"> medical </w:t>
      </w:r>
      <w:proofErr w:type="spellStart"/>
      <w:r w:rsidR="00B26B85" w:rsidRPr="0021622B">
        <w:rPr>
          <w:rFonts w:asciiTheme="majorHAnsi" w:hAnsiTheme="majorHAnsi" w:cs="Arial"/>
          <w:i/>
        </w:rPr>
        <w:t>devices</w:t>
      </w:r>
      <w:proofErr w:type="spellEnd"/>
      <w:r w:rsidR="00B26B85" w:rsidRPr="0021622B">
        <w:rPr>
          <w:rFonts w:asciiTheme="majorHAnsi" w:hAnsiTheme="majorHAnsi" w:cs="Arial"/>
        </w:rPr>
        <w:t>. Todas essas três normas técnicas foram elaboradas no âmbito do IEC STC 62A.</w:t>
      </w:r>
    </w:p>
    <w:p w14:paraId="4D34256A" w14:textId="0CB8B4B7" w:rsidR="00B26B85" w:rsidRPr="00A47DF3" w:rsidRDefault="00B26B85"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71" w:name="_Toc478923604"/>
      <w:bookmarkStart w:id="172" w:name="_Toc478923964"/>
      <w:bookmarkStart w:id="173" w:name="_Toc478924075"/>
      <w:bookmarkStart w:id="174" w:name="_Toc478924197"/>
      <w:bookmarkStart w:id="175" w:name="_Toc478925002"/>
      <w:bookmarkStart w:id="176" w:name="_Toc478926208"/>
      <w:bookmarkStart w:id="177" w:name="_Toc478926334"/>
      <w:bookmarkStart w:id="178" w:name="_Toc479013873"/>
      <w:bookmarkStart w:id="179" w:name="_Toc482620244"/>
      <w:r w:rsidRPr="00A47DF3">
        <w:rPr>
          <w:rFonts w:ascii="Calibri Light" w:hAnsi="Calibri Light"/>
          <w:color w:val="0066B2"/>
          <w:sz w:val="32"/>
          <w:szCs w:val="32"/>
        </w:rPr>
        <w:t>Usabilidade</w:t>
      </w:r>
      <w:bookmarkEnd w:id="171"/>
      <w:bookmarkEnd w:id="172"/>
      <w:bookmarkEnd w:id="173"/>
      <w:bookmarkEnd w:id="174"/>
      <w:bookmarkEnd w:id="175"/>
      <w:bookmarkEnd w:id="176"/>
      <w:bookmarkEnd w:id="177"/>
      <w:bookmarkEnd w:id="178"/>
      <w:bookmarkEnd w:id="179"/>
    </w:p>
    <w:p w14:paraId="2F57E03B" w14:textId="3AEA90C3" w:rsidR="00B26B85" w:rsidRPr="0021622B" w:rsidRDefault="00B26B85" w:rsidP="00B125DD">
      <w:pPr>
        <w:spacing w:line="360" w:lineRule="auto"/>
        <w:jc w:val="both"/>
        <w:rPr>
          <w:rFonts w:asciiTheme="majorHAnsi" w:hAnsiTheme="majorHAnsi" w:cs="Arial"/>
        </w:rPr>
      </w:pPr>
      <w:r w:rsidRPr="0021622B">
        <w:rPr>
          <w:rFonts w:asciiTheme="majorHAnsi" w:hAnsiTheme="majorHAnsi" w:cs="Arial"/>
        </w:rPr>
        <w:t>O termo diz respeito à facilidade de um determinado objeto, equipamento, acessório</w:t>
      </w:r>
      <w:r w:rsidR="0065280A" w:rsidRPr="0021622B">
        <w:rPr>
          <w:rFonts w:asciiTheme="majorHAnsi" w:hAnsiTheme="majorHAnsi" w:cs="Arial"/>
        </w:rPr>
        <w:t xml:space="preserve">, </w:t>
      </w:r>
      <w:r w:rsidR="00817B4B" w:rsidRPr="0021622B">
        <w:rPr>
          <w:rFonts w:asciiTheme="majorHAnsi" w:hAnsiTheme="majorHAnsi" w:cs="Arial"/>
        </w:rPr>
        <w:t xml:space="preserve">ou </w:t>
      </w:r>
      <w:r w:rsidR="0065280A" w:rsidRPr="0021622B">
        <w:rPr>
          <w:rFonts w:asciiTheme="majorHAnsi" w:hAnsiTheme="majorHAnsi" w:cs="Arial"/>
        </w:rPr>
        <w:t>programa de computador</w:t>
      </w:r>
      <w:r w:rsidRPr="0021622B">
        <w:rPr>
          <w:rFonts w:asciiTheme="majorHAnsi" w:hAnsiTheme="majorHAnsi" w:cs="Arial"/>
        </w:rPr>
        <w:t xml:space="preserve"> ser utilizado para seu uso pretendido</w:t>
      </w:r>
      <w:r w:rsidR="0065280A" w:rsidRPr="0021622B">
        <w:rPr>
          <w:rFonts w:asciiTheme="majorHAnsi" w:hAnsiTheme="majorHAnsi" w:cs="Arial"/>
        </w:rPr>
        <w:t>. Usabilidade está diretamente associada à funcionalidade e eficiência de um objeto ou ferramenta</w:t>
      </w:r>
      <w:r w:rsidRPr="0021622B">
        <w:rPr>
          <w:rFonts w:asciiTheme="majorHAnsi" w:hAnsiTheme="majorHAnsi" w:cs="Arial"/>
        </w:rPr>
        <w:t>.</w:t>
      </w:r>
      <w:r w:rsidR="0065280A" w:rsidRPr="0021622B">
        <w:rPr>
          <w:rFonts w:asciiTheme="majorHAnsi" w:hAnsiTheme="majorHAnsi" w:cs="Arial"/>
        </w:rPr>
        <w:t xml:space="preserve"> </w:t>
      </w:r>
      <w:r w:rsidR="008D62F5" w:rsidRPr="0021622B">
        <w:rPr>
          <w:rFonts w:asciiTheme="majorHAnsi" w:hAnsiTheme="majorHAnsi" w:cs="Arial"/>
        </w:rPr>
        <w:t xml:space="preserve">Está ligada à ergonomia, quando se trata de um projeto que atente para peculiaridades do ser humano ao utilizar o objeto. </w:t>
      </w:r>
      <w:r w:rsidR="0065280A" w:rsidRPr="0021622B">
        <w:rPr>
          <w:rFonts w:asciiTheme="majorHAnsi" w:hAnsiTheme="majorHAnsi" w:cs="Arial"/>
        </w:rPr>
        <w:t xml:space="preserve">Como um exemplo lúdico temos o advento das malas com rodinhas. Uma mala serve basicamente para o mesmo propósito desde sua invenção: levar roupas e objetos de uso pessoal em uma viagem. Antigamente, entretanto, as malas não </w:t>
      </w:r>
      <w:r w:rsidR="0065280A" w:rsidRPr="0021622B">
        <w:rPr>
          <w:rFonts w:asciiTheme="majorHAnsi" w:hAnsiTheme="majorHAnsi" w:cs="Arial"/>
        </w:rPr>
        <w:lastRenderedPageBreak/>
        <w:t>tinham rodinhas, o que a tornava difícil de ser transportada. Hoje em dia é praticamente impensável uma mala que não disponha de rodinhas, o que é um avanço em termos de usabilidade da mala.</w:t>
      </w:r>
      <w:r w:rsidR="000138A7" w:rsidRPr="0021622B">
        <w:rPr>
          <w:rFonts w:asciiTheme="majorHAnsi" w:hAnsiTheme="majorHAnsi" w:cs="Arial"/>
        </w:rPr>
        <w:t xml:space="preserve"> Veja a </w:t>
      </w:r>
      <w:r w:rsidR="00817B4B" w:rsidRPr="0021622B">
        <w:rPr>
          <w:rFonts w:asciiTheme="majorHAnsi" w:hAnsiTheme="majorHAnsi" w:cs="Arial"/>
        </w:rPr>
        <w:fldChar w:fldCharType="begin"/>
      </w:r>
      <w:r w:rsidR="00817B4B" w:rsidRPr="0021622B">
        <w:rPr>
          <w:rFonts w:asciiTheme="majorHAnsi" w:hAnsiTheme="majorHAnsi" w:cs="Arial"/>
        </w:rPr>
        <w:instrText xml:space="preserve"> REF _Ref477604851 \r \h </w:instrText>
      </w:r>
      <w:r w:rsidR="0021622B" w:rsidRPr="0021622B">
        <w:rPr>
          <w:rFonts w:asciiTheme="majorHAnsi" w:hAnsiTheme="majorHAnsi" w:cs="Arial"/>
        </w:rPr>
        <w:instrText xml:space="preserve"> \* MERGEFORMAT </w:instrText>
      </w:r>
      <w:r w:rsidR="00817B4B" w:rsidRPr="0021622B">
        <w:rPr>
          <w:rFonts w:asciiTheme="majorHAnsi" w:hAnsiTheme="majorHAnsi" w:cs="Arial"/>
        </w:rPr>
      </w:r>
      <w:r w:rsidR="00817B4B" w:rsidRPr="0021622B">
        <w:rPr>
          <w:rFonts w:asciiTheme="majorHAnsi" w:hAnsiTheme="majorHAnsi" w:cs="Arial"/>
        </w:rPr>
        <w:fldChar w:fldCharType="separate"/>
      </w:r>
      <w:r w:rsidR="00DA3A7D">
        <w:rPr>
          <w:rFonts w:asciiTheme="majorHAnsi" w:hAnsiTheme="majorHAnsi" w:cs="Arial"/>
        </w:rPr>
        <w:t>Figura 3</w:t>
      </w:r>
      <w:r w:rsidR="00817B4B" w:rsidRPr="0021622B">
        <w:rPr>
          <w:rFonts w:asciiTheme="majorHAnsi" w:hAnsiTheme="majorHAnsi" w:cs="Arial"/>
        </w:rPr>
        <w:fldChar w:fldCharType="end"/>
      </w:r>
      <w:r w:rsidR="00817B4B" w:rsidRPr="0021622B">
        <w:rPr>
          <w:rFonts w:asciiTheme="majorHAnsi" w:hAnsiTheme="majorHAnsi" w:cs="Arial"/>
        </w:rPr>
        <w:t xml:space="preserve"> </w:t>
      </w:r>
      <w:r w:rsidR="000138A7" w:rsidRPr="0021622B">
        <w:rPr>
          <w:rFonts w:asciiTheme="majorHAnsi" w:hAnsiTheme="majorHAnsi" w:cs="Arial"/>
        </w:rPr>
        <w:t>ilustrando este exemplo.</w:t>
      </w:r>
    </w:p>
    <w:p w14:paraId="02B1FCF7" w14:textId="17F26F08" w:rsidR="006726C6" w:rsidRDefault="006726C6" w:rsidP="00B125DD">
      <w:pPr>
        <w:pStyle w:val="FIGURA"/>
        <w:spacing w:after="160" w:line="360" w:lineRule="auto"/>
        <w:rPr>
          <w:rFonts w:asciiTheme="majorHAnsi" w:hAnsiTheme="majorHAnsi"/>
        </w:rPr>
      </w:pPr>
      <w:r w:rsidRPr="0021622B">
        <w:rPr>
          <w:rFonts w:asciiTheme="majorHAnsi" w:hAnsiTheme="majorHAnsi"/>
        </w:rPr>
        <w:t> </w:t>
      </w:r>
      <w:bookmarkStart w:id="180" w:name="_Ref477604851"/>
      <w:bookmarkStart w:id="181" w:name="_Toc478904197"/>
      <w:bookmarkStart w:id="182" w:name="_Toc478924525"/>
      <w:bookmarkStart w:id="183" w:name="_Toc478924562"/>
      <w:bookmarkStart w:id="184" w:name="_Toc478999526"/>
      <w:bookmarkStart w:id="185" w:name="_Toc479021570"/>
      <w:r w:rsidRPr="0021622B">
        <w:rPr>
          <w:rFonts w:asciiTheme="majorHAnsi" w:hAnsiTheme="majorHAnsi"/>
        </w:rPr>
        <w:t>Exemplo de usabilidade de um objeto: mala</w:t>
      </w:r>
      <w:r w:rsidR="001803F7" w:rsidRPr="0021622B">
        <w:rPr>
          <w:rFonts w:asciiTheme="majorHAnsi" w:hAnsiTheme="majorHAnsi"/>
        </w:rPr>
        <w:t>s de viagem com e sem rodinhas.</w:t>
      </w:r>
      <w:bookmarkEnd w:id="180"/>
      <w:bookmarkEnd w:id="181"/>
      <w:bookmarkEnd w:id="182"/>
      <w:bookmarkEnd w:id="183"/>
      <w:bookmarkEnd w:id="184"/>
      <w:bookmarkEnd w:id="185"/>
    </w:p>
    <w:p w14:paraId="5BF637EE" w14:textId="0FCC9987" w:rsidR="004A3C88" w:rsidRPr="0021622B" w:rsidRDefault="004A3C88" w:rsidP="004A3C88">
      <w:pPr>
        <w:pStyle w:val="FIGURA"/>
        <w:numPr>
          <w:ilvl w:val="0"/>
          <w:numId w:val="0"/>
        </w:numPr>
        <w:spacing w:after="160" w:line="360" w:lineRule="auto"/>
        <w:ind w:left="567"/>
        <w:jc w:val="left"/>
        <w:rPr>
          <w:rFonts w:asciiTheme="majorHAnsi" w:hAnsiTheme="majorHAnsi"/>
        </w:rPr>
      </w:pPr>
      <w:r>
        <w:rPr>
          <w:noProof/>
          <w:lang w:eastAsia="pt-BR"/>
        </w:rPr>
        <w:drawing>
          <wp:anchor distT="0" distB="0" distL="114300" distR="114300" simplePos="0" relativeHeight="251666432" behindDoc="1" locked="0" layoutInCell="1" allowOverlap="1" wp14:anchorId="372A9162" wp14:editId="46992C31">
            <wp:simplePos x="0" y="0"/>
            <wp:positionH relativeFrom="column">
              <wp:posOffset>695325</wp:posOffset>
            </wp:positionH>
            <wp:positionV relativeFrom="paragraph">
              <wp:posOffset>57150</wp:posOffset>
            </wp:positionV>
            <wp:extent cx="4762500" cy="2857500"/>
            <wp:effectExtent l="0" t="0" r="0" b="0"/>
            <wp:wrapTight wrapText="bothSides">
              <wp:wrapPolygon edited="0">
                <wp:start x="0" y="0"/>
                <wp:lineTo x="0" y="21456"/>
                <wp:lineTo x="21514" y="21456"/>
                <wp:lineTo x="21514" y="0"/>
                <wp:lineTo x="0" y="0"/>
              </wp:wrapPolygon>
            </wp:wrapTight>
            <wp:docPr id="14" name="Imagem 14" descr="http://prodsaude-entib.org.br/prodsaude/imagens/PS_60601_A03_3.1_M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rodsaude-entib.org.br/prodsaude/imagens/PS_60601_A03_3.1_Mala.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anchor>
        </w:drawing>
      </w:r>
    </w:p>
    <w:p w14:paraId="1BBBD963" w14:textId="7D413308" w:rsidR="002E40EA" w:rsidRPr="0021622B" w:rsidRDefault="002E40EA" w:rsidP="001803F7">
      <w:pPr>
        <w:keepNext/>
        <w:spacing w:after="0" w:line="240" w:lineRule="auto"/>
        <w:jc w:val="center"/>
        <w:rPr>
          <w:rFonts w:asciiTheme="majorHAnsi" w:hAnsiTheme="majorHAnsi" w:cs="Arial"/>
        </w:rPr>
      </w:pPr>
    </w:p>
    <w:p w14:paraId="5DDF363D" w14:textId="6F584AF6" w:rsidR="0065280A" w:rsidRPr="00A47DF3" w:rsidRDefault="0065280A"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86" w:name="_Toc478923605"/>
      <w:bookmarkStart w:id="187" w:name="_Toc478923965"/>
      <w:bookmarkStart w:id="188" w:name="_Toc478924076"/>
      <w:bookmarkStart w:id="189" w:name="_Toc478924198"/>
      <w:bookmarkStart w:id="190" w:name="_Toc478925003"/>
      <w:bookmarkStart w:id="191" w:name="_Toc478926209"/>
      <w:bookmarkStart w:id="192" w:name="_Toc478926335"/>
      <w:bookmarkStart w:id="193" w:name="_Toc479013874"/>
      <w:bookmarkStart w:id="194" w:name="_Toc482620245"/>
      <w:r w:rsidRPr="00A47DF3">
        <w:rPr>
          <w:rFonts w:ascii="Calibri Light" w:hAnsi="Calibri Light"/>
          <w:color w:val="0066B2"/>
          <w:sz w:val="32"/>
          <w:szCs w:val="32"/>
        </w:rPr>
        <w:t>Usabilidade na área médica</w:t>
      </w:r>
      <w:bookmarkEnd w:id="186"/>
      <w:bookmarkEnd w:id="187"/>
      <w:bookmarkEnd w:id="188"/>
      <w:bookmarkEnd w:id="189"/>
      <w:bookmarkEnd w:id="190"/>
      <w:bookmarkEnd w:id="191"/>
      <w:bookmarkEnd w:id="192"/>
      <w:bookmarkEnd w:id="193"/>
      <w:bookmarkEnd w:id="194"/>
    </w:p>
    <w:p w14:paraId="7A87D256" w14:textId="0169D26C" w:rsidR="0065280A" w:rsidRPr="0021622B" w:rsidRDefault="0065280A" w:rsidP="00B125DD">
      <w:pPr>
        <w:spacing w:line="360" w:lineRule="auto"/>
        <w:jc w:val="both"/>
        <w:rPr>
          <w:rFonts w:asciiTheme="majorHAnsi" w:hAnsiTheme="majorHAnsi" w:cs="Arial"/>
        </w:rPr>
      </w:pPr>
      <w:r w:rsidRPr="0021622B">
        <w:rPr>
          <w:rFonts w:asciiTheme="majorHAnsi" w:hAnsiTheme="majorHAnsi" w:cs="Arial"/>
        </w:rPr>
        <w:t xml:space="preserve">No caso de equipamentos eletromédicos, o termo assume uma conotação mais específica, pois não se trata apenas da facilidade ou comodidade do seu uso. O fabricante deve projetar, desenvolver e fabricar </w:t>
      </w:r>
      <w:r w:rsidR="00902127" w:rsidRPr="0021622B">
        <w:rPr>
          <w:rFonts w:asciiTheme="majorHAnsi" w:hAnsiTheme="majorHAnsi" w:cs="Arial"/>
        </w:rPr>
        <w:t>o</w:t>
      </w:r>
      <w:r w:rsidRPr="0021622B">
        <w:rPr>
          <w:rFonts w:asciiTheme="majorHAnsi" w:hAnsiTheme="majorHAnsi" w:cs="Arial"/>
        </w:rPr>
        <w:t xml:space="preserve"> equi</w:t>
      </w:r>
      <w:r w:rsidR="00902127" w:rsidRPr="0021622B">
        <w:rPr>
          <w:rFonts w:asciiTheme="majorHAnsi" w:hAnsiTheme="majorHAnsi" w:cs="Arial"/>
        </w:rPr>
        <w:t xml:space="preserve">pamento eletromédico </w:t>
      </w:r>
      <w:r w:rsidR="00817B4B" w:rsidRPr="0021622B">
        <w:rPr>
          <w:rFonts w:asciiTheme="majorHAnsi" w:hAnsiTheme="majorHAnsi" w:cs="Arial"/>
        </w:rPr>
        <w:t>a fim de</w:t>
      </w:r>
      <w:r w:rsidR="00902127" w:rsidRPr="0021622B">
        <w:rPr>
          <w:rFonts w:asciiTheme="majorHAnsi" w:hAnsiTheme="majorHAnsi" w:cs="Arial"/>
        </w:rPr>
        <w:t xml:space="preserve"> </w:t>
      </w:r>
      <w:r w:rsidRPr="0021622B">
        <w:rPr>
          <w:rFonts w:asciiTheme="majorHAnsi" w:hAnsiTheme="majorHAnsi" w:cs="Arial"/>
        </w:rPr>
        <w:t xml:space="preserve">que seu uso pretendido minimize ou, preferencialmente, isente o operador de qualquer possibilidade de erro. A utilização de equipamentos eletromédicos vem aumentando significativamente, </w:t>
      </w:r>
      <w:r w:rsidR="00817B4B" w:rsidRPr="0021622B">
        <w:rPr>
          <w:rFonts w:asciiTheme="majorHAnsi" w:hAnsiTheme="majorHAnsi" w:cs="Arial"/>
        </w:rPr>
        <w:t>motivado principalmente</w:t>
      </w:r>
      <w:r w:rsidRPr="0021622B">
        <w:rPr>
          <w:rFonts w:asciiTheme="majorHAnsi" w:hAnsiTheme="majorHAnsi" w:cs="Arial"/>
        </w:rPr>
        <w:t xml:space="preserve"> pelo vertiginoso incremento da tecnologia na área da saúde e seu consequente barateamento. Adicionalmente, </w:t>
      </w:r>
      <w:r w:rsidR="0065644E" w:rsidRPr="0021622B">
        <w:rPr>
          <w:rFonts w:asciiTheme="majorHAnsi" w:hAnsiTheme="majorHAnsi" w:cs="Arial"/>
        </w:rPr>
        <w:t>com a expansão da modalidade de atendimento e tratamento domiciliar (</w:t>
      </w:r>
      <w:r w:rsidR="0065644E" w:rsidRPr="0021622B">
        <w:rPr>
          <w:rFonts w:asciiTheme="majorHAnsi" w:hAnsiTheme="majorHAnsi" w:cs="Arial"/>
          <w:i/>
        </w:rPr>
        <w:t xml:space="preserve">home </w:t>
      </w:r>
      <w:proofErr w:type="spellStart"/>
      <w:r w:rsidR="0065644E" w:rsidRPr="0021622B">
        <w:rPr>
          <w:rFonts w:asciiTheme="majorHAnsi" w:hAnsiTheme="majorHAnsi" w:cs="Arial"/>
          <w:i/>
        </w:rPr>
        <w:t>healthcare</w:t>
      </w:r>
      <w:proofErr w:type="spellEnd"/>
      <w:r w:rsidR="0065644E" w:rsidRPr="0021622B">
        <w:rPr>
          <w:rFonts w:asciiTheme="majorHAnsi" w:hAnsiTheme="majorHAnsi" w:cs="Arial"/>
        </w:rPr>
        <w:t xml:space="preserve">), muitas vezes o </w:t>
      </w:r>
      <w:r w:rsidR="00902127" w:rsidRPr="0021622B">
        <w:rPr>
          <w:rFonts w:asciiTheme="majorHAnsi" w:hAnsiTheme="majorHAnsi" w:cs="Arial"/>
        </w:rPr>
        <w:t>op</w:t>
      </w:r>
      <w:r w:rsidR="000B20D8" w:rsidRPr="0021622B">
        <w:rPr>
          <w:rFonts w:asciiTheme="majorHAnsi" w:hAnsiTheme="majorHAnsi" w:cs="Arial"/>
        </w:rPr>
        <w:t>e</w:t>
      </w:r>
      <w:r w:rsidR="00902127" w:rsidRPr="0021622B">
        <w:rPr>
          <w:rFonts w:asciiTheme="majorHAnsi" w:hAnsiTheme="majorHAnsi" w:cs="Arial"/>
        </w:rPr>
        <w:t>rador</w:t>
      </w:r>
      <w:r w:rsidR="0065644E" w:rsidRPr="0021622B">
        <w:rPr>
          <w:rFonts w:asciiTheme="majorHAnsi" w:hAnsiTheme="majorHAnsi" w:cs="Arial"/>
        </w:rPr>
        <w:t xml:space="preserve"> é o próprio paciente ou alguém com pouca ou nenhuma formação técnica para operar o equipamento eletromédico. Como foi visto na apresentação da filosofia de gerenciamento de risco da norma geral </w:t>
      </w:r>
      <w:r w:rsidR="00817B4B" w:rsidRPr="0021622B">
        <w:rPr>
          <w:rFonts w:asciiTheme="majorHAnsi" w:hAnsiTheme="majorHAnsi" w:cs="Arial"/>
        </w:rPr>
        <w:t>(</w:t>
      </w:r>
      <w:r w:rsidR="0065644E" w:rsidRPr="0021622B">
        <w:rPr>
          <w:rFonts w:asciiTheme="majorHAnsi" w:hAnsiTheme="majorHAnsi" w:cs="Arial"/>
        </w:rPr>
        <w:t>que perpassa por toda a série 60601, incluindo as normas colaterais e particulares</w:t>
      </w:r>
      <w:r w:rsidR="00817B4B" w:rsidRPr="0021622B">
        <w:rPr>
          <w:rFonts w:asciiTheme="majorHAnsi" w:hAnsiTheme="majorHAnsi" w:cs="Arial"/>
        </w:rPr>
        <w:t>)</w:t>
      </w:r>
      <w:r w:rsidR="0065644E" w:rsidRPr="0021622B">
        <w:rPr>
          <w:rFonts w:asciiTheme="majorHAnsi" w:hAnsiTheme="majorHAnsi" w:cs="Arial"/>
        </w:rPr>
        <w:t xml:space="preserve">, o fabricante deve se atentar para o uso pretendido, incluindo </w:t>
      </w:r>
      <w:r w:rsidR="00817B4B" w:rsidRPr="0021622B">
        <w:rPr>
          <w:rFonts w:asciiTheme="majorHAnsi" w:hAnsiTheme="majorHAnsi" w:cs="Arial"/>
        </w:rPr>
        <w:t xml:space="preserve">o </w:t>
      </w:r>
      <w:r w:rsidR="0065644E" w:rsidRPr="0021622B">
        <w:rPr>
          <w:rFonts w:asciiTheme="majorHAnsi" w:hAnsiTheme="majorHAnsi" w:cs="Arial"/>
        </w:rPr>
        <w:t xml:space="preserve">ambiente de instalação e </w:t>
      </w:r>
      <w:r w:rsidR="00817B4B" w:rsidRPr="0021622B">
        <w:rPr>
          <w:rFonts w:asciiTheme="majorHAnsi" w:hAnsiTheme="majorHAnsi" w:cs="Arial"/>
        </w:rPr>
        <w:t xml:space="preserve">o </w:t>
      </w:r>
      <w:r w:rsidR="0065644E" w:rsidRPr="0021622B">
        <w:rPr>
          <w:rFonts w:asciiTheme="majorHAnsi" w:hAnsiTheme="majorHAnsi" w:cs="Arial"/>
        </w:rPr>
        <w:t>operador típico ou possível.</w:t>
      </w:r>
    </w:p>
    <w:p w14:paraId="205C4748" w14:textId="0BD06C45" w:rsidR="009B019D" w:rsidRPr="0021622B" w:rsidRDefault="009B019D" w:rsidP="00B125DD">
      <w:pPr>
        <w:spacing w:line="360" w:lineRule="auto"/>
        <w:jc w:val="both"/>
        <w:rPr>
          <w:rFonts w:asciiTheme="majorHAnsi" w:hAnsiTheme="majorHAnsi" w:cs="Arial"/>
        </w:rPr>
      </w:pPr>
      <w:r w:rsidRPr="0021622B">
        <w:rPr>
          <w:rFonts w:asciiTheme="majorHAnsi" w:hAnsiTheme="majorHAnsi" w:cs="Arial"/>
        </w:rPr>
        <w:t>O aumento do uso de equipamentos eletromédicos por pacientes e por operadores sem formação complementar técnica adequada resultou em um aumento dos casos de erros causados pelo uso inapropriado, segundo a própria IEC 62366-1. Esta preocupação motivou os especialistas do subcomitê IEC STC62A a desenvolver um procedimento de engenharia para “produzir” usabilidade apropriada nos equipamentos eletromédicos.</w:t>
      </w:r>
    </w:p>
    <w:p w14:paraId="4CCD4719" w14:textId="3AB5D0C3" w:rsidR="0065644E" w:rsidRPr="00A47DF3" w:rsidRDefault="0065644E"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195" w:name="_Toc478923606"/>
      <w:bookmarkStart w:id="196" w:name="_Toc478923966"/>
      <w:bookmarkStart w:id="197" w:name="_Toc478924077"/>
      <w:bookmarkStart w:id="198" w:name="_Toc478924199"/>
      <w:bookmarkStart w:id="199" w:name="_Toc478925004"/>
      <w:bookmarkStart w:id="200" w:name="_Toc478926210"/>
      <w:bookmarkStart w:id="201" w:name="_Toc478926336"/>
      <w:bookmarkStart w:id="202" w:name="_Toc479013875"/>
      <w:bookmarkStart w:id="203" w:name="_Toc482620246"/>
      <w:r w:rsidRPr="00A47DF3">
        <w:rPr>
          <w:rFonts w:ascii="Calibri Light" w:hAnsi="Calibri Light"/>
          <w:color w:val="0066B2"/>
          <w:sz w:val="32"/>
          <w:szCs w:val="32"/>
        </w:rPr>
        <w:lastRenderedPageBreak/>
        <w:t>Desenvolvendo a usabilidade (projeto)</w:t>
      </w:r>
      <w:bookmarkEnd w:id="195"/>
      <w:bookmarkEnd w:id="196"/>
      <w:bookmarkEnd w:id="197"/>
      <w:bookmarkEnd w:id="198"/>
      <w:bookmarkEnd w:id="199"/>
      <w:bookmarkEnd w:id="200"/>
      <w:bookmarkEnd w:id="201"/>
      <w:bookmarkEnd w:id="202"/>
      <w:bookmarkEnd w:id="203"/>
    </w:p>
    <w:p w14:paraId="34826C4D" w14:textId="2ADCE96B" w:rsidR="0065644E" w:rsidRPr="0021622B" w:rsidRDefault="0065644E" w:rsidP="00B125DD">
      <w:pPr>
        <w:spacing w:line="360" w:lineRule="auto"/>
        <w:jc w:val="both"/>
        <w:rPr>
          <w:rFonts w:asciiTheme="majorHAnsi" w:hAnsiTheme="majorHAnsi" w:cs="Arial"/>
        </w:rPr>
      </w:pPr>
      <w:r w:rsidRPr="0021622B">
        <w:rPr>
          <w:rFonts w:asciiTheme="majorHAnsi" w:hAnsiTheme="majorHAnsi" w:cs="Arial"/>
        </w:rPr>
        <w:t xml:space="preserve">A norma </w:t>
      </w:r>
      <w:r w:rsidR="00B26B85" w:rsidRPr="0021622B">
        <w:rPr>
          <w:rFonts w:asciiTheme="majorHAnsi" w:hAnsiTheme="majorHAnsi" w:cs="Arial"/>
        </w:rPr>
        <w:t>IEC 62366-1</w:t>
      </w:r>
      <w:r w:rsidRPr="0021622B">
        <w:rPr>
          <w:rFonts w:asciiTheme="majorHAnsi" w:hAnsiTheme="majorHAnsi" w:cs="Arial"/>
        </w:rPr>
        <w:t xml:space="preserve"> define um processo </w:t>
      </w:r>
      <w:r w:rsidR="002D23F5" w:rsidRPr="0021622B">
        <w:rPr>
          <w:rFonts w:asciiTheme="majorHAnsi" w:hAnsiTheme="majorHAnsi" w:cs="Arial"/>
        </w:rPr>
        <w:t xml:space="preserve">em </w:t>
      </w:r>
      <w:r w:rsidRPr="0021622B">
        <w:rPr>
          <w:rFonts w:asciiTheme="majorHAnsi" w:hAnsiTheme="majorHAnsi" w:cs="Arial"/>
        </w:rPr>
        <w:t xml:space="preserve">que o fabricante deve empregar a usabilidade, particularmente no que se refere à segurança básica. O objetivo é oferecer ferramentas para que o fabricante consiga projetar e construir o equipamento eletromédico </w:t>
      </w:r>
      <w:r w:rsidR="002D23F5" w:rsidRPr="0021622B">
        <w:rPr>
          <w:rFonts w:asciiTheme="majorHAnsi" w:hAnsiTheme="majorHAnsi" w:cs="Arial"/>
        </w:rPr>
        <w:t>de forma</w:t>
      </w:r>
      <w:r w:rsidRPr="0021622B">
        <w:rPr>
          <w:rFonts w:asciiTheme="majorHAnsi" w:hAnsiTheme="majorHAnsi" w:cs="Arial"/>
        </w:rPr>
        <w:t xml:space="preserve"> que</w:t>
      </w:r>
      <w:r w:rsidR="006E143A" w:rsidRPr="0021622B">
        <w:rPr>
          <w:rFonts w:asciiTheme="majorHAnsi" w:hAnsiTheme="majorHAnsi" w:cs="Arial"/>
        </w:rPr>
        <w:t xml:space="preserve"> riscos inerentes ao bom uso sejam minimizados. O que se entende por bom ou </w:t>
      </w:r>
      <w:r w:rsidR="002D23F5" w:rsidRPr="0021622B">
        <w:rPr>
          <w:rFonts w:asciiTheme="majorHAnsi" w:hAnsiTheme="majorHAnsi" w:cs="Arial"/>
        </w:rPr>
        <w:t xml:space="preserve">mau </w:t>
      </w:r>
      <w:r w:rsidR="006E143A" w:rsidRPr="0021622B">
        <w:rPr>
          <w:rFonts w:asciiTheme="majorHAnsi" w:hAnsiTheme="majorHAnsi" w:cs="Arial"/>
        </w:rPr>
        <w:t>uso também deve estar discriminado no gerenciamento de risco, desde a concepção do produto até seu comissionamento e operação plena. O procedimento apresentado na norma IEC 62366 pode servir para identificar o que é uso correto ou uso anormal, mas não é previsto que a usabilidade concebida conforme os requisitos desta norma sirvam para evitar os erros decorrentes deste uso inapropriado.</w:t>
      </w:r>
      <w:r w:rsidR="009B019D" w:rsidRPr="0021622B">
        <w:rPr>
          <w:rFonts w:asciiTheme="majorHAnsi" w:hAnsiTheme="majorHAnsi" w:cs="Arial"/>
        </w:rPr>
        <w:t xml:space="preserve"> A parte 2 da norma 62366 é um </w:t>
      </w:r>
      <w:proofErr w:type="spellStart"/>
      <w:r w:rsidR="009B019D" w:rsidRPr="0021622B">
        <w:rPr>
          <w:rFonts w:asciiTheme="majorHAnsi" w:hAnsiTheme="majorHAnsi" w:cs="Arial"/>
          <w:i/>
        </w:rPr>
        <w:t>Technical</w:t>
      </w:r>
      <w:proofErr w:type="spellEnd"/>
      <w:r w:rsidR="009B019D" w:rsidRPr="0021622B">
        <w:rPr>
          <w:rFonts w:asciiTheme="majorHAnsi" w:hAnsiTheme="majorHAnsi" w:cs="Arial"/>
          <w:i/>
        </w:rPr>
        <w:t xml:space="preserve"> </w:t>
      </w:r>
      <w:proofErr w:type="spellStart"/>
      <w:r w:rsidR="009B019D" w:rsidRPr="0021622B">
        <w:rPr>
          <w:rFonts w:asciiTheme="majorHAnsi" w:hAnsiTheme="majorHAnsi" w:cs="Arial"/>
          <w:i/>
        </w:rPr>
        <w:t>Report</w:t>
      </w:r>
      <w:proofErr w:type="spellEnd"/>
      <w:r w:rsidR="009B019D" w:rsidRPr="0021622B">
        <w:rPr>
          <w:rFonts w:asciiTheme="majorHAnsi" w:hAnsiTheme="majorHAnsi" w:cs="Arial"/>
        </w:rPr>
        <w:t xml:space="preserve"> (TR – relatório técnico) contendo um tutorial para ser utilizado pelos fabricantes a fim de produzir seus equipamentos com apropriado gerenciamento de risco quanto à usabilidade. As orientações deste TR vão para além do uso seguro, </w:t>
      </w:r>
      <w:r w:rsidR="002D23F5" w:rsidRPr="0021622B">
        <w:rPr>
          <w:rFonts w:asciiTheme="majorHAnsi" w:hAnsiTheme="majorHAnsi" w:cs="Arial"/>
        </w:rPr>
        <w:t xml:space="preserve">pois </w:t>
      </w:r>
      <w:r w:rsidR="009B019D" w:rsidRPr="0021622B">
        <w:rPr>
          <w:rFonts w:asciiTheme="majorHAnsi" w:hAnsiTheme="majorHAnsi" w:cs="Arial"/>
        </w:rPr>
        <w:t xml:space="preserve">abordam métodos de engenharia mais </w:t>
      </w:r>
      <w:r w:rsidR="002D23F5" w:rsidRPr="0021622B">
        <w:rPr>
          <w:rFonts w:asciiTheme="majorHAnsi" w:hAnsiTheme="majorHAnsi" w:cs="Arial"/>
        </w:rPr>
        <w:t xml:space="preserve">genéricos </w:t>
      </w:r>
      <w:r w:rsidR="009B019D" w:rsidRPr="0021622B">
        <w:rPr>
          <w:rFonts w:asciiTheme="majorHAnsi" w:hAnsiTheme="majorHAnsi" w:cs="Arial"/>
        </w:rPr>
        <w:t>para melhorar a interface operacional entre o usuário e o equipamento médico.</w:t>
      </w:r>
    </w:p>
    <w:p w14:paraId="322C345A" w14:textId="53C06081" w:rsidR="002E40EA" w:rsidRPr="0021622B" w:rsidRDefault="009B019D" w:rsidP="00B125DD">
      <w:pPr>
        <w:spacing w:line="360" w:lineRule="auto"/>
        <w:jc w:val="both"/>
        <w:rPr>
          <w:rFonts w:asciiTheme="majorHAnsi" w:hAnsiTheme="majorHAnsi" w:cs="Arial"/>
        </w:rPr>
      </w:pPr>
      <w:r w:rsidRPr="0021622B">
        <w:rPr>
          <w:rFonts w:asciiTheme="majorHAnsi" w:hAnsiTheme="majorHAnsi" w:cs="Arial"/>
        </w:rPr>
        <w:t xml:space="preserve">Os equipamentos que são desenvolvidos sem os conceitos da engenharia de usabilidade tendem a ser menos intuitivos, gerando uma curva de aprendizado operacional menos favorável e levando a maiores chances de erros de utilização. As técnicas de </w:t>
      </w:r>
      <w:r w:rsidR="002E40EA" w:rsidRPr="0021622B">
        <w:rPr>
          <w:rFonts w:asciiTheme="majorHAnsi" w:hAnsiTheme="majorHAnsi" w:cs="Arial"/>
        </w:rPr>
        <w:t>desenvolvimento da</w:t>
      </w:r>
      <w:r w:rsidRPr="0021622B">
        <w:rPr>
          <w:rFonts w:asciiTheme="majorHAnsi" w:hAnsiTheme="majorHAnsi" w:cs="Arial"/>
        </w:rPr>
        <w:t xml:space="preserve"> usabilidade </w:t>
      </w:r>
      <w:r w:rsidR="002E40EA" w:rsidRPr="0021622B">
        <w:rPr>
          <w:rFonts w:asciiTheme="majorHAnsi" w:hAnsiTheme="majorHAnsi" w:cs="Arial"/>
        </w:rPr>
        <w:t>imputam ao projetista a preocupação com a interface entre o usuário e o equipamento médico. Um exemplo é o esfigmomanômetro automático (ou digital). Com ele, virtualmente qualquer usuário, mesmo sem treinamento ou formação especial, pode operar e medir a pressão arterial, inclusive a do próprio operador.</w:t>
      </w:r>
      <w:r w:rsidR="00166728" w:rsidRPr="0021622B">
        <w:rPr>
          <w:rFonts w:asciiTheme="majorHAnsi" w:hAnsiTheme="majorHAnsi" w:cs="Arial"/>
        </w:rPr>
        <w:t xml:space="preserve"> O esfigmomanômetro “tradicional” é operado insuflando ar através de uma bomba (</w:t>
      </w:r>
      <w:r w:rsidR="000B20D8" w:rsidRPr="0021622B">
        <w:rPr>
          <w:rFonts w:asciiTheme="majorHAnsi" w:hAnsiTheme="majorHAnsi" w:cs="Arial"/>
        </w:rPr>
        <w:t>pera</w:t>
      </w:r>
      <w:r w:rsidR="00166728" w:rsidRPr="0021622B">
        <w:rPr>
          <w:rFonts w:asciiTheme="majorHAnsi" w:hAnsiTheme="majorHAnsi" w:cs="Arial"/>
        </w:rPr>
        <w:t xml:space="preserve">) em uma bolsa que é presa em volta do braço do paciente. A pressão é medida a partir de um manômetro aneroide e o operador deve “sentir” a pulsação do paciente com o auxílio de um estetoscópio. As pressões máxima e mínima são identificadas pelo operador através do estetoscópio e ele deve realizar, simultaneamente, </w:t>
      </w:r>
      <w:r w:rsidR="008B399B" w:rsidRPr="0021622B">
        <w:rPr>
          <w:rFonts w:asciiTheme="majorHAnsi" w:hAnsiTheme="majorHAnsi" w:cs="Arial"/>
        </w:rPr>
        <w:t>a leitura no manômetro. Uma inovação foi a criação do es</w:t>
      </w:r>
      <w:r w:rsidR="000B20D8" w:rsidRPr="0021622B">
        <w:rPr>
          <w:rFonts w:asciiTheme="majorHAnsi" w:hAnsiTheme="majorHAnsi" w:cs="Arial"/>
        </w:rPr>
        <w:t>fi</w:t>
      </w:r>
      <w:r w:rsidR="008B399B" w:rsidRPr="0021622B">
        <w:rPr>
          <w:rFonts w:asciiTheme="majorHAnsi" w:hAnsiTheme="majorHAnsi" w:cs="Arial"/>
        </w:rPr>
        <w:t xml:space="preserve">gmomanômetro automático digital. Com ele, basta o operador ou o próprio paciente ajustá-lo apropriadamente no braço e o equipamento realiza a medição da pressão sem maior intervenção humana. Outro exemplo é o termômetro clínico. Dentre os mais comuns, podem ser citados três gerações subsequentes, cada qual com sua engenharia de usabilidade aprimorada. Os termômetros de coluna de liquido precisam ficar um determinado tempo em contato com o paciente até a estabilização da temperatura entre o líquido do bulbo do termômetro e o corpo do paciente. A leitura é feita de maneira analógica, comparando-se a altura da coluna de líquido com uma marcação em forma de régua no próprio corpo do termômetro. A geração seguinte resolveu dois problemas de usabilidade potencialmente causadoras de mau uso: o aviso automático da estabilidade da temperatura e o mostrador digital, o que facilita sobremaneira a leitura da temperatura. A terceira geração de termômetros clínicos é ainda mais fácil de ser utilizado. Basta fixar uma fita construída com cristais líquidos </w:t>
      </w:r>
      <w:proofErr w:type="spellStart"/>
      <w:r w:rsidR="008B399B" w:rsidRPr="0021622B">
        <w:rPr>
          <w:rFonts w:asciiTheme="majorHAnsi" w:hAnsiTheme="majorHAnsi" w:cs="Arial"/>
        </w:rPr>
        <w:t>colestéricos</w:t>
      </w:r>
      <w:proofErr w:type="spellEnd"/>
      <w:r w:rsidR="008B399B" w:rsidRPr="0021622B">
        <w:rPr>
          <w:rFonts w:asciiTheme="majorHAnsi" w:hAnsiTheme="majorHAnsi" w:cs="Arial"/>
        </w:rPr>
        <w:t xml:space="preserve"> que a temperatura é automaticamente informada, assim que os cristais entram em </w:t>
      </w:r>
      <w:r w:rsidR="008B399B" w:rsidRPr="0021622B">
        <w:rPr>
          <w:rFonts w:asciiTheme="majorHAnsi" w:hAnsiTheme="majorHAnsi" w:cs="Arial"/>
        </w:rPr>
        <w:lastRenderedPageBreak/>
        <w:t xml:space="preserve">equilíbrio térmico com o corpo do paciente. Cristais </w:t>
      </w:r>
      <w:proofErr w:type="spellStart"/>
      <w:r w:rsidR="008B399B" w:rsidRPr="0021622B">
        <w:rPr>
          <w:rFonts w:asciiTheme="majorHAnsi" w:hAnsiTheme="majorHAnsi" w:cs="Arial"/>
        </w:rPr>
        <w:t>colestéricos</w:t>
      </w:r>
      <w:proofErr w:type="spellEnd"/>
      <w:r w:rsidR="008B399B" w:rsidRPr="0021622B">
        <w:rPr>
          <w:rFonts w:asciiTheme="majorHAnsi" w:hAnsiTheme="majorHAnsi" w:cs="Arial"/>
        </w:rPr>
        <w:t xml:space="preserve"> são uma classe de cristais líquidos capazes de mudar de cor em função da temperatura a que estão submetidos</w:t>
      </w:r>
      <w:r w:rsidR="00E8290D" w:rsidRPr="0021622B">
        <w:rPr>
          <w:rFonts w:asciiTheme="majorHAnsi" w:hAnsiTheme="majorHAnsi" w:cs="Arial"/>
        </w:rPr>
        <w:t xml:space="preserve"> (ELY et al., 2007; COSTA et al., 2016).</w:t>
      </w:r>
      <w:r w:rsidR="000138A7" w:rsidRPr="0021622B">
        <w:rPr>
          <w:rFonts w:asciiTheme="majorHAnsi" w:hAnsiTheme="majorHAnsi" w:cs="Arial"/>
        </w:rPr>
        <w:t xml:space="preserve"> Veja </w:t>
      </w:r>
      <w:r w:rsidR="000B20D8" w:rsidRPr="0021622B">
        <w:rPr>
          <w:rFonts w:asciiTheme="majorHAnsi" w:hAnsiTheme="majorHAnsi" w:cs="Arial"/>
        </w:rPr>
        <w:t xml:space="preserve">que </w:t>
      </w:r>
      <w:r w:rsidR="000138A7" w:rsidRPr="0021622B">
        <w:rPr>
          <w:rFonts w:asciiTheme="majorHAnsi" w:hAnsiTheme="majorHAnsi" w:cs="Arial"/>
        </w:rPr>
        <w:t xml:space="preserve">a </w:t>
      </w:r>
      <w:r w:rsidR="002D23F5" w:rsidRPr="0021622B">
        <w:rPr>
          <w:rFonts w:asciiTheme="majorHAnsi" w:hAnsiTheme="majorHAnsi" w:cs="Arial"/>
        </w:rPr>
        <w:fldChar w:fldCharType="begin"/>
      </w:r>
      <w:r w:rsidR="002D23F5" w:rsidRPr="0021622B">
        <w:rPr>
          <w:rFonts w:asciiTheme="majorHAnsi" w:hAnsiTheme="majorHAnsi" w:cs="Arial"/>
        </w:rPr>
        <w:instrText xml:space="preserve"> REF _Ref477604928 \r \h </w:instrText>
      </w:r>
      <w:r w:rsidR="0021622B" w:rsidRPr="0021622B">
        <w:rPr>
          <w:rFonts w:asciiTheme="majorHAnsi" w:hAnsiTheme="majorHAnsi" w:cs="Arial"/>
        </w:rPr>
        <w:instrText xml:space="preserve"> \* MERGEFORMAT </w:instrText>
      </w:r>
      <w:r w:rsidR="002D23F5" w:rsidRPr="0021622B">
        <w:rPr>
          <w:rFonts w:asciiTheme="majorHAnsi" w:hAnsiTheme="majorHAnsi" w:cs="Arial"/>
        </w:rPr>
      </w:r>
      <w:r w:rsidR="002D23F5" w:rsidRPr="0021622B">
        <w:rPr>
          <w:rFonts w:asciiTheme="majorHAnsi" w:hAnsiTheme="majorHAnsi" w:cs="Arial"/>
        </w:rPr>
        <w:fldChar w:fldCharType="separate"/>
      </w:r>
      <w:r w:rsidR="00DA3A7D">
        <w:rPr>
          <w:rFonts w:asciiTheme="majorHAnsi" w:hAnsiTheme="majorHAnsi" w:cs="Arial"/>
        </w:rPr>
        <w:t>Figura 4</w:t>
      </w:r>
      <w:r w:rsidR="002D23F5" w:rsidRPr="0021622B">
        <w:rPr>
          <w:rFonts w:asciiTheme="majorHAnsi" w:hAnsiTheme="majorHAnsi" w:cs="Arial"/>
        </w:rPr>
        <w:fldChar w:fldCharType="end"/>
      </w:r>
      <w:r w:rsidR="002D23F5" w:rsidRPr="0021622B">
        <w:rPr>
          <w:rFonts w:asciiTheme="majorHAnsi" w:hAnsiTheme="majorHAnsi" w:cs="Arial"/>
        </w:rPr>
        <w:t xml:space="preserve"> </w:t>
      </w:r>
      <w:r w:rsidR="000138A7" w:rsidRPr="0021622B">
        <w:rPr>
          <w:rFonts w:asciiTheme="majorHAnsi" w:hAnsiTheme="majorHAnsi" w:cs="Arial"/>
        </w:rPr>
        <w:t>apresenta estes equipamentos médicos e suas evoluções de usabilidade.</w:t>
      </w:r>
    </w:p>
    <w:p w14:paraId="4507CAF7" w14:textId="2FABFB29" w:rsidR="006726C6" w:rsidRDefault="006726C6" w:rsidP="00B125DD">
      <w:pPr>
        <w:pStyle w:val="FIGURA"/>
        <w:spacing w:after="160" w:line="360" w:lineRule="auto"/>
        <w:rPr>
          <w:rFonts w:asciiTheme="majorHAnsi" w:hAnsiTheme="majorHAnsi"/>
        </w:rPr>
      </w:pPr>
      <w:r w:rsidRPr="0021622B">
        <w:rPr>
          <w:rFonts w:asciiTheme="majorHAnsi" w:hAnsiTheme="majorHAnsi"/>
        </w:rPr>
        <w:t> </w:t>
      </w:r>
      <w:bookmarkStart w:id="204" w:name="_Ref477604928"/>
      <w:bookmarkStart w:id="205" w:name="_Toc478904198"/>
      <w:bookmarkStart w:id="206" w:name="_Toc478924526"/>
      <w:bookmarkStart w:id="207" w:name="_Toc478924563"/>
      <w:bookmarkStart w:id="208" w:name="_Toc478999527"/>
      <w:bookmarkStart w:id="209" w:name="_Toc479021571"/>
      <w:r w:rsidRPr="0021622B">
        <w:rPr>
          <w:rFonts w:asciiTheme="majorHAnsi" w:hAnsiTheme="majorHAnsi"/>
        </w:rPr>
        <w:t>Exemplo de usabilidade equipamentos de uso médico: esfigmomanômetro e termômetro clínico.</w:t>
      </w:r>
      <w:bookmarkEnd w:id="204"/>
      <w:bookmarkEnd w:id="205"/>
      <w:bookmarkEnd w:id="206"/>
      <w:bookmarkEnd w:id="207"/>
      <w:bookmarkEnd w:id="208"/>
      <w:bookmarkEnd w:id="209"/>
    </w:p>
    <w:p w14:paraId="4C1D3EBF" w14:textId="18FCF783" w:rsidR="004A3C88" w:rsidRPr="0021622B" w:rsidRDefault="004A3C88" w:rsidP="004A3C88">
      <w:pPr>
        <w:pStyle w:val="FIGURA"/>
        <w:numPr>
          <w:ilvl w:val="0"/>
          <w:numId w:val="0"/>
        </w:numPr>
        <w:spacing w:after="160" w:line="360" w:lineRule="auto"/>
        <w:ind w:left="567"/>
        <w:jc w:val="left"/>
        <w:rPr>
          <w:rFonts w:asciiTheme="majorHAnsi" w:hAnsiTheme="majorHAnsi"/>
        </w:rPr>
      </w:pPr>
      <w:r>
        <w:rPr>
          <w:noProof/>
          <w:lang w:eastAsia="pt-BR"/>
        </w:rPr>
        <w:drawing>
          <wp:anchor distT="0" distB="0" distL="114300" distR="114300" simplePos="0" relativeHeight="251668480" behindDoc="1" locked="0" layoutInCell="1" allowOverlap="1" wp14:anchorId="3BB01310" wp14:editId="25A602A3">
            <wp:simplePos x="0" y="0"/>
            <wp:positionH relativeFrom="page">
              <wp:align>center</wp:align>
            </wp:positionH>
            <wp:positionV relativeFrom="paragraph">
              <wp:posOffset>57150</wp:posOffset>
            </wp:positionV>
            <wp:extent cx="4762500" cy="2857500"/>
            <wp:effectExtent l="0" t="0" r="0" b="0"/>
            <wp:wrapTight wrapText="bothSides">
              <wp:wrapPolygon edited="0">
                <wp:start x="0" y="0"/>
                <wp:lineTo x="0" y="21456"/>
                <wp:lineTo x="21514" y="21456"/>
                <wp:lineTo x="21514" y="0"/>
                <wp:lineTo x="0" y="0"/>
              </wp:wrapPolygon>
            </wp:wrapTight>
            <wp:docPr id="15" name="Imagem 15" descr="http://prodsaude-entib.org.br/prodsaude/imagens/PS_60601_A03_3.3_Equipament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prodsaude-entib.org.br/prodsaude/imagens/PS_60601_A03_3.3_Equipamentos.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anchor>
        </w:drawing>
      </w:r>
    </w:p>
    <w:p w14:paraId="5787AD20" w14:textId="77777777" w:rsidR="004A3C88" w:rsidRDefault="004A3C88" w:rsidP="001803F7">
      <w:pPr>
        <w:keepNext/>
        <w:spacing w:after="0" w:line="240" w:lineRule="auto"/>
        <w:jc w:val="center"/>
        <w:rPr>
          <w:rFonts w:asciiTheme="majorHAnsi" w:hAnsiTheme="majorHAnsi" w:cs="Arial"/>
          <w:noProof/>
          <w:lang w:eastAsia="pt-BR"/>
        </w:rPr>
      </w:pPr>
    </w:p>
    <w:p w14:paraId="15085DAE" w14:textId="313BA076" w:rsidR="000D59F6" w:rsidRPr="0021622B" w:rsidRDefault="000D59F6" w:rsidP="001803F7">
      <w:pPr>
        <w:keepNext/>
        <w:spacing w:after="0" w:line="240" w:lineRule="auto"/>
        <w:jc w:val="center"/>
        <w:rPr>
          <w:rFonts w:asciiTheme="majorHAnsi" w:hAnsiTheme="majorHAnsi" w:cs="Arial"/>
        </w:rPr>
      </w:pPr>
    </w:p>
    <w:p w14:paraId="0B0991CD" w14:textId="77777777" w:rsidR="004A3C88" w:rsidRDefault="004A3C88" w:rsidP="001803F7">
      <w:pPr>
        <w:pStyle w:val="FONTEFIG-TAB"/>
        <w:rPr>
          <w:rFonts w:asciiTheme="majorHAnsi" w:hAnsiTheme="majorHAnsi"/>
          <w:b/>
          <w:sz w:val="22"/>
        </w:rPr>
      </w:pPr>
      <w:bookmarkStart w:id="210" w:name="_Ref475111573"/>
    </w:p>
    <w:p w14:paraId="092B0B8A" w14:textId="77777777" w:rsidR="004A3C88" w:rsidRDefault="004A3C88" w:rsidP="001803F7">
      <w:pPr>
        <w:pStyle w:val="FONTEFIG-TAB"/>
        <w:rPr>
          <w:rFonts w:asciiTheme="majorHAnsi" w:hAnsiTheme="majorHAnsi"/>
          <w:b/>
          <w:sz w:val="22"/>
        </w:rPr>
      </w:pPr>
    </w:p>
    <w:p w14:paraId="53666B19" w14:textId="77777777" w:rsidR="004A3C88" w:rsidRDefault="004A3C88" w:rsidP="001803F7">
      <w:pPr>
        <w:pStyle w:val="FONTEFIG-TAB"/>
        <w:rPr>
          <w:rFonts w:asciiTheme="majorHAnsi" w:hAnsiTheme="majorHAnsi"/>
          <w:b/>
          <w:sz w:val="22"/>
        </w:rPr>
      </w:pPr>
    </w:p>
    <w:p w14:paraId="1B27803E" w14:textId="77777777" w:rsidR="004A3C88" w:rsidRDefault="004A3C88" w:rsidP="001803F7">
      <w:pPr>
        <w:pStyle w:val="FONTEFIG-TAB"/>
        <w:rPr>
          <w:rFonts w:asciiTheme="majorHAnsi" w:hAnsiTheme="majorHAnsi"/>
          <w:b/>
          <w:sz w:val="22"/>
        </w:rPr>
      </w:pPr>
    </w:p>
    <w:p w14:paraId="556F7C0D" w14:textId="77777777" w:rsidR="004A3C88" w:rsidRDefault="004A3C88" w:rsidP="001803F7">
      <w:pPr>
        <w:pStyle w:val="FONTEFIG-TAB"/>
        <w:rPr>
          <w:rFonts w:asciiTheme="majorHAnsi" w:hAnsiTheme="majorHAnsi"/>
          <w:b/>
          <w:sz w:val="22"/>
        </w:rPr>
      </w:pPr>
    </w:p>
    <w:p w14:paraId="30F6DB09" w14:textId="77777777" w:rsidR="004A3C88" w:rsidRDefault="004A3C88" w:rsidP="001803F7">
      <w:pPr>
        <w:pStyle w:val="FONTEFIG-TAB"/>
        <w:rPr>
          <w:rFonts w:asciiTheme="majorHAnsi" w:hAnsiTheme="majorHAnsi"/>
          <w:b/>
          <w:sz w:val="22"/>
        </w:rPr>
      </w:pPr>
    </w:p>
    <w:p w14:paraId="093DB9B8" w14:textId="77777777" w:rsidR="004A3C88" w:rsidRDefault="004A3C88" w:rsidP="001803F7">
      <w:pPr>
        <w:pStyle w:val="FONTEFIG-TAB"/>
        <w:rPr>
          <w:rFonts w:asciiTheme="majorHAnsi" w:hAnsiTheme="majorHAnsi"/>
          <w:b/>
          <w:sz w:val="22"/>
        </w:rPr>
      </w:pPr>
    </w:p>
    <w:bookmarkEnd w:id="210"/>
    <w:p w14:paraId="795DFD79" w14:textId="606EBA7A" w:rsidR="00651EAF" w:rsidRPr="0021622B" w:rsidRDefault="00651EAF" w:rsidP="00B125DD">
      <w:pPr>
        <w:spacing w:line="360" w:lineRule="auto"/>
        <w:jc w:val="both"/>
        <w:rPr>
          <w:rFonts w:asciiTheme="majorHAnsi" w:hAnsiTheme="majorHAnsi" w:cs="Arial"/>
        </w:rPr>
      </w:pPr>
      <w:r w:rsidRPr="0021622B">
        <w:rPr>
          <w:rFonts w:asciiTheme="majorHAnsi" w:hAnsiTheme="majorHAnsi" w:cs="Arial"/>
        </w:rPr>
        <w:t>É importante mencionar que a usabilidade a qual estas normas tratam é no sentido ergonômico e objetivando a eliminação de riscos de erros de má operação do equipamento eletromédico. Aspectos relativos aos efeitos fisiológicos do uso pretendido não fazem parte do escopo destes documentos normativos embora, naturalmente, devam fazer parte do gerenciamento de risco do equipamento médico.</w:t>
      </w:r>
    </w:p>
    <w:p w14:paraId="35ABBB3D" w14:textId="3F897968" w:rsidR="003E6B1F"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211" w:name="_Toc475089831"/>
      <w:bookmarkStart w:id="212" w:name="_Toc475089956"/>
      <w:bookmarkStart w:id="213" w:name="_Toc475090198"/>
      <w:bookmarkStart w:id="214" w:name="_Toc478923607"/>
      <w:bookmarkStart w:id="215" w:name="_Toc478923967"/>
      <w:bookmarkStart w:id="216" w:name="_Toc478924078"/>
      <w:bookmarkStart w:id="217" w:name="_Toc478924200"/>
      <w:bookmarkStart w:id="218" w:name="_Toc478925005"/>
      <w:bookmarkStart w:id="219" w:name="_Toc478926211"/>
      <w:bookmarkStart w:id="220" w:name="_Toc478926337"/>
      <w:bookmarkStart w:id="221" w:name="_Toc479013876"/>
      <w:bookmarkStart w:id="222" w:name="_Toc482620247"/>
      <w:r w:rsidRPr="00A47DF3">
        <w:rPr>
          <w:rFonts w:ascii="Calibri Light" w:hAnsi="Calibri Light"/>
          <w:b/>
          <w:color w:val="0066B2"/>
          <w:lang w:val="en-US"/>
        </w:rPr>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60601-1-8 – </w:t>
      </w:r>
      <w:r w:rsidR="00365F80" w:rsidRPr="00A47DF3">
        <w:rPr>
          <w:rFonts w:ascii="Calibri Light" w:hAnsi="Calibri Light"/>
          <w:b/>
          <w:i/>
          <w:color w:val="0066B2"/>
          <w:lang w:val="en-US"/>
        </w:rPr>
        <w:t>General requirements, tests and guidance for alarm systems in medical electrical equipment and medical electrical systems</w:t>
      </w:r>
      <w:bookmarkEnd w:id="211"/>
      <w:bookmarkEnd w:id="212"/>
      <w:bookmarkEnd w:id="213"/>
      <w:bookmarkEnd w:id="214"/>
      <w:bookmarkEnd w:id="215"/>
      <w:bookmarkEnd w:id="216"/>
      <w:bookmarkEnd w:id="217"/>
      <w:bookmarkEnd w:id="218"/>
      <w:bookmarkEnd w:id="219"/>
      <w:bookmarkEnd w:id="220"/>
      <w:bookmarkEnd w:id="221"/>
      <w:bookmarkEnd w:id="222"/>
    </w:p>
    <w:p w14:paraId="4AF9F221" w14:textId="330178A9" w:rsidR="003E6B1F" w:rsidRPr="0021622B" w:rsidRDefault="003F1B9A" w:rsidP="00B125DD">
      <w:pPr>
        <w:spacing w:line="360" w:lineRule="auto"/>
        <w:jc w:val="both"/>
        <w:rPr>
          <w:rFonts w:asciiTheme="majorHAnsi" w:hAnsiTheme="majorHAnsi" w:cs="Arial"/>
        </w:rPr>
      </w:pPr>
      <w:r w:rsidRPr="0021622B">
        <w:rPr>
          <w:rFonts w:asciiTheme="majorHAnsi" w:hAnsiTheme="majorHAnsi" w:cs="Arial"/>
        </w:rPr>
        <w:t>Esta norma colateral está em sua edição 2.1, tendo sido publicada pela IEC em 2012. Sua elaboração e revisão é de responsabilidade do IEC STC 62A.</w:t>
      </w:r>
    </w:p>
    <w:p w14:paraId="5A7EB233" w14:textId="3B0C3A1F" w:rsidR="003F1B9A" w:rsidRPr="0021622B" w:rsidRDefault="003F1B9A" w:rsidP="00B125DD">
      <w:pPr>
        <w:spacing w:line="360" w:lineRule="auto"/>
        <w:jc w:val="both"/>
        <w:rPr>
          <w:rFonts w:asciiTheme="majorHAnsi" w:hAnsiTheme="majorHAnsi" w:cs="Arial"/>
        </w:rPr>
      </w:pPr>
      <w:r w:rsidRPr="0021622B">
        <w:rPr>
          <w:rFonts w:asciiTheme="majorHAnsi" w:hAnsiTheme="majorHAnsi" w:cs="Arial"/>
        </w:rPr>
        <w:t>Virtualmente</w:t>
      </w:r>
      <w:r w:rsidR="002D23F5" w:rsidRPr="0021622B">
        <w:rPr>
          <w:rFonts w:asciiTheme="majorHAnsi" w:hAnsiTheme="majorHAnsi" w:cs="Arial"/>
        </w:rPr>
        <w:t>,</w:t>
      </w:r>
      <w:r w:rsidRPr="0021622B">
        <w:rPr>
          <w:rFonts w:asciiTheme="majorHAnsi" w:hAnsiTheme="majorHAnsi" w:cs="Arial"/>
        </w:rPr>
        <w:t xml:space="preserve"> todo equipamento eletromédico é dotado de alarmes. Em geral, os alarmes se dividem em alertas contra condições fisiológicas do paciente que demandam supervisão ou intervenção médica imediata ou alarmes relativos a </w:t>
      </w:r>
      <w:r w:rsidR="002D23F5" w:rsidRPr="0021622B">
        <w:rPr>
          <w:rFonts w:asciiTheme="majorHAnsi" w:hAnsiTheme="majorHAnsi" w:cs="Arial"/>
        </w:rPr>
        <w:t xml:space="preserve">mau </w:t>
      </w:r>
      <w:r w:rsidRPr="0021622B">
        <w:rPr>
          <w:rFonts w:asciiTheme="majorHAnsi" w:hAnsiTheme="majorHAnsi" w:cs="Arial"/>
        </w:rPr>
        <w:t xml:space="preserve">funcionamento do equipamento. Outra funcionalidade </w:t>
      </w:r>
      <w:r w:rsidR="006227BA" w:rsidRPr="0021622B">
        <w:rPr>
          <w:rFonts w:asciiTheme="majorHAnsi" w:hAnsiTheme="majorHAnsi" w:cs="Arial"/>
        </w:rPr>
        <w:t xml:space="preserve">dos alarmes em </w:t>
      </w:r>
      <w:r w:rsidRPr="0021622B">
        <w:rPr>
          <w:rFonts w:asciiTheme="majorHAnsi" w:hAnsiTheme="majorHAnsi" w:cs="Arial"/>
        </w:rPr>
        <w:t xml:space="preserve">equipamentos eletromédicos </w:t>
      </w:r>
      <w:r w:rsidR="006227BA" w:rsidRPr="0021622B">
        <w:rPr>
          <w:rFonts w:asciiTheme="majorHAnsi" w:hAnsiTheme="majorHAnsi" w:cs="Arial"/>
        </w:rPr>
        <w:t>é</w:t>
      </w:r>
      <w:r w:rsidRPr="0021622B">
        <w:rPr>
          <w:rFonts w:asciiTheme="majorHAnsi" w:hAnsiTheme="majorHAnsi" w:cs="Arial"/>
        </w:rPr>
        <w:t xml:space="preserve"> avisar o usuário ou paciente a respeito de uma atividade potencialmente perigosa, mesmo estando prevista em seu funcionamento normal. É o caso do alarme </w:t>
      </w:r>
      <w:r w:rsidR="006227BA" w:rsidRPr="0021622B">
        <w:rPr>
          <w:rFonts w:asciiTheme="majorHAnsi" w:hAnsiTheme="majorHAnsi" w:cs="Arial"/>
        </w:rPr>
        <w:t xml:space="preserve">emitido em </w:t>
      </w:r>
      <w:r w:rsidRPr="0021622B">
        <w:rPr>
          <w:rFonts w:asciiTheme="majorHAnsi" w:hAnsiTheme="majorHAnsi" w:cs="Arial"/>
        </w:rPr>
        <w:t xml:space="preserve">equipamentos que utilizam raios-X quando a fonte de emissão radioativa está operando. </w:t>
      </w:r>
      <w:r w:rsidRPr="0021622B">
        <w:rPr>
          <w:rFonts w:asciiTheme="majorHAnsi" w:hAnsiTheme="majorHAnsi" w:cs="Arial"/>
        </w:rPr>
        <w:lastRenderedPageBreak/>
        <w:t>Equipamentos de terapia por ultrassom também costumam alertar de maneira visual ao operador quando o equipamento está em operação.</w:t>
      </w:r>
    </w:p>
    <w:p w14:paraId="0F4C729D" w14:textId="759F98DC" w:rsidR="007969BA" w:rsidRPr="00A47DF3" w:rsidRDefault="007969BA"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223" w:name="_Toc478923608"/>
      <w:bookmarkStart w:id="224" w:name="_Toc478923968"/>
      <w:bookmarkStart w:id="225" w:name="_Toc478924079"/>
      <w:bookmarkStart w:id="226" w:name="_Toc478924201"/>
      <w:bookmarkStart w:id="227" w:name="_Toc478925006"/>
      <w:bookmarkStart w:id="228" w:name="_Toc478926212"/>
      <w:bookmarkStart w:id="229" w:name="_Toc478926338"/>
      <w:bookmarkStart w:id="230" w:name="_Toc479013877"/>
      <w:bookmarkStart w:id="231" w:name="_Toc482620248"/>
      <w:bookmarkStart w:id="232" w:name="_Toc475089832"/>
      <w:bookmarkStart w:id="233" w:name="_Toc475089957"/>
      <w:bookmarkStart w:id="234" w:name="_Toc475090199"/>
      <w:r w:rsidRPr="00A47DF3">
        <w:rPr>
          <w:rFonts w:ascii="Calibri Light" w:hAnsi="Calibri Light"/>
          <w:color w:val="0066B2"/>
          <w:sz w:val="32"/>
          <w:szCs w:val="32"/>
        </w:rPr>
        <w:t>Características de alarmes de equipamentos eletromédicos</w:t>
      </w:r>
      <w:bookmarkEnd w:id="223"/>
      <w:bookmarkEnd w:id="224"/>
      <w:bookmarkEnd w:id="225"/>
      <w:bookmarkEnd w:id="226"/>
      <w:bookmarkEnd w:id="227"/>
      <w:bookmarkEnd w:id="228"/>
      <w:bookmarkEnd w:id="229"/>
      <w:bookmarkEnd w:id="230"/>
      <w:bookmarkEnd w:id="231"/>
    </w:p>
    <w:p w14:paraId="5CDC6315" w14:textId="7521599C" w:rsidR="00BF26EA" w:rsidRPr="0021622B" w:rsidRDefault="007969BA" w:rsidP="00B125DD">
      <w:pPr>
        <w:spacing w:line="360" w:lineRule="auto"/>
        <w:jc w:val="both"/>
        <w:rPr>
          <w:rFonts w:asciiTheme="majorHAnsi" w:hAnsiTheme="majorHAnsi" w:cs="Arial"/>
        </w:rPr>
      </w:pPr>
      <w:r w:rsidRPr="0021622B">
        <w:rPr>
          <w:rFonts w:asciiTheme="majorHAnsi" w:hAnsiTheme="majorHAnsi" w:cs="Arial"/>
        </w:rPr>
        <w:t>Quem já teve oportunidade de visitar um hospital, particularmente um quarto de internação, certamente percebeu a quantidade de equipamentos eletromédicos presentes. Simultaneamente, podem estar em operação medidores de ECG (eletrocardiograma) incluindo medidor de frequência cardíaca, EEG (eletroencefalograma)</w:t>
      </w:r>
      <w:r w:rsidR="00D67BDE" w:rsidRPr="0021622B">
        <w:rPr>
          <w:rFonts w:asciiTheme="majorHAnsi" w:hAnsiTheme="majorHAnsi" w:cs="Arial"/>
        </w:rPr>
        <w:t>,</w:t>
      </w:r>
      <w:r w:rsidRPr="0021622B">
        <w:rPr>
          <w:rFonts w:asciiTheme="majorHAnsi" w:hAnsiTheme="majorHAnsi" w:cs="Arial"/>
        </w:rPr>
        <w:t xml:space="preserve"> </w:t>
      </w:r>
      <w:r w:rsidR="00D67BDE" w:rsidRPr="0021622B">
        <w:rPr>
          <w:rFonts w:asciiTheme="majorHAnsi" w:hAnsiTheme="majorHAnsi" w:cs="Arial"/>
        </w:rPr>
        <w:t>ventilador pulmonar</w:t>
      </w:r>
      <w:r w:rsidR="006227BA" w:rsidRPr="0021622B">
        <w:rPr>
          <w:rFonts w:asciiTheme="majorHAnsi" w:hAnsiTheme="majorHAnsi" w:cs="Arial"/>
        </w:rPr>
        <w:t xml:space="preserve"> e </w:t>
      </w:r>
      <w:proofErr w:type="spellStart"/>
      <w:r w:rsidR="00D67BDE" w:rsidRPr="0021622B">
        <w:rPr>
          <w:rFonts w:asciiTheme="majorHAnsi" w:hAnsiTheme="majorHAnsi" w:cs="Arial"/>
        </w:rPr>
        <w:t>oxímetros</w:t>
      </w:r>
      <w:proofErr w:type="spellEnd"/>
      <w:r w:rsidR="00D67BDE" w:rsidRPr="0021622B">
        <w:rPr>
          <w:rFonts w:asciiTheme="majorHAnsi" w:hAnsiTheme="majorHAnsi" w:cs="Arial"/>
        </w:rPr>
        <w:t xml:space="preserve"> (medidores de dissolução de oxigênio no sangue), entre outros. Todos </w:t>
      </w:r>
      <w:r w:rsidR="006227BA" w:rsidRPr="0021622B">
        <w:rPr>
          <w:rFonts w:asciiTheme="majorHAnsi" w:hAnsiTheme="majorHAnsi" w:cs="Arial"/>
        </w:rPr>
        <w:t xml:space="preserve">os </w:t>
      </w:r>
      <w:r w:rsidR="00D67BDE" w:rsidRPr="0021622B">
        <w:rPr>
          <w:rFonts w:asciiTheme="majorHAnsi" w:hAnsiTheme="majorHAnsi" w:cs="Arial"/>
        </w:rPr>
        <w:t>equipamentos devem estar preparados para alertar ao profissional de saúde caso algum parâmetro fisiológico do paciente esteja fora da normalidade esperada para o quadro clínico. Além disso, uma falha de operação do ventilador pulmonar, por exemplo, pode levar o paciente</w:t>
      </w:r>
      <w:r w:rsidR="006227BA" w:rsidRPr="0021622B">
        <w:rPr>
          <w:rFonts w:asciiTheme="majorHAnsi" w:hAnsiTheme="majorHAnsi" w:cs="Arial"/>
        </w:rPr>
        <w:t xml:space="preserve"> a óbito</w:t>
      </w:r>
      <w:r w:rsidR="00D67BDE" w:rsidRPr="0021622B">
        <w:rPr>
          <w:rFonts w:asciiTheme="majorHAnsi" w:hAnsiTheme="majorHAnsi" w:cs="Arial"/>
        </w:rPr>
        <w:t xml:space="preserve"> ou deixar graves sequelas em questão de minutos.</w:t>
      </w:r>
    </w:p>
    <w:p w14:paraId="3102EAF7" w14:textId="164322A3" w:rsidR="00BF26EA" w:rsidRPr="0021622B" w:rsidRDefault="00BF26EA" w:rsidP="00B125DD">
      <w:pPr>
        <w:spacing w:line="360" w:lineRule="auto"/>
        <w:jc w:val="both"/>
        <w:rPr>
          <w:rFonts w:asciiTheme="majorHAnsi" w:hAnsiTheme="majorHAnsi" w:cs="Arial"/>
        </w:rPr>
      </w:pPr>
      <w:r w:rsidRPr="0021622B">
        <w:rPr>
          <w:rFonts w:asciiTheme="majorHAnsi" w:hAnsiTheme="majorHAnsi" w:cs="Arial"/>
        </w:rPr>
        <w:t xml:space="preserve">Assim sendo, os alarmes devem ser acionados imediatamente após a identificação da situação perigosa ou </w:t>
      </w:r>
      <w:r w:rsidR="006227BA" w:rsidRPr="0021622B">
        <w:rPr>
          <w:rFonts w:asciiTheme="majorHAnsi" w:hAnsiTheme="majorHAnsi" w:cs="Arial"/>
        </w:rPr>
        <w:t xml:space="preserve">quando </w:t>
      </w:r>
      <w:r w:rsidRPr="0021622B">
        <w:rPr>
          <w:rFonts w:asciiTheme="majorHAnsi" w:hAnsiTheme="majorHAnsi" w:cs="Arial"/>
        </w:rPr>
        <w:t>a falha for detectada. O som ou ruído emitido deve ser alto o suficiente para alertar</w:t>
      </w:r>
      <w:r w:rsidR="006227BA" w:rsidRPr="0021622B">
        <w:rPr>
          <w:rFonts w:asciiTheme="majorHAnsi" w:hAnsiTheme="majorHAnsi" w:cs="Arial"/>
        </w:rPr>
        <w:t xml:space="preserve"> com clareza</w:t>
      </w:r>
      <w:r w:rsidRPr="0021622B">
        <w:rPr>
          <w:rFonts w:asciiTheme="majorHAnsi" w:hAnsiTheme="majorHAnsi" w:cs="Arial"/>
        </w:rPr>
        <w:t xml:space="preserve">, mesmo que o profissional de saúde esteja em outra sala. Por outro lado, alertar desnecessariamente </w:t>
      </w:r>
      <w:r w:rsidR="006227BA" w:rsidRPr="0021622B">
        <w:rPr>
          <w:rFonts w:asciiTheme="majorHAnsi" w:hAnsiTheme="majorHAnsi" w:cs="Arial"/>
        </w:rPr>
        <w:t>(</w:t>
      </w:r>
      <w:r w:rsidRPr="0021622B">
        <w:rPr>
          <w:rFonts w:asciiTheme="majorHAnsi" w:hAnsiTheme="majorHAnsi" w:cs="Arial"/>
        </w:rPr>
        <w:t>por exemplo, em caso de falso positivo</w:t>
      </w:r>
      <w:r w:rsidR="006227BA" w:rsidRPr="0021622B">
        <w:rPr>
          <w:rFonts w:asciiTheme="majorHAnsi" w:hAnsiTheme="majorHAnsi" w:cs="Arial"/>
        </w:rPr>
        <w:t xml:space="preserve">) </w:t>
      </w:r>
      <w:r w:rsidRPr="0021622B">
        <w:rPr>
          <w:rFonts w:asciiTheme="majorHAnsi" w:hAnsiTheme="majorHAnsi" w:cs="Arial"/>
        </w:rPr>
        <w:t xml:space="preserve">é altamente prejudicial, uma vez que o operador pode “perder a confiança” no equipamento. São comuns </w:t>
      </w:r>
      <w:r w:rsidR="006227BA" w:rsidRPr="0021622B">
        <w:rPr>
          <w:rFonts w:asciiTheme="majorHAnsi" w:hAnsiTheme="majorHAnsi" w:cs="Arial"/>
        </w:rPr>
        <w:t xml:space="preserve">os </w:t>
      </w:r>
      <w:r w:rsidRPr="0021622B">
        <w:rPr>
          <w:rFonts w:asciiTheme="majorHAnsi" w:hAnsiTheme="majorHAnsi" w:cs="Arial"/>
        </w:rPr>
        <w:t xml:space="preserve">relatos de enfermeiros que desligam determinado alarme de um equipamento eletromédico por que ele “apita demais”. Esta situação indica, claramente, um alarme que não está cumprindo sua função ou </w:t>
      </w:r>
      <w:r w:rsidR="006227BA" w:rsidRPr="0021622B">
        <w:rPr>
          <w:rFonts w:asciiTheme="majorHAnsi" w:hAnsiTheme="majorHAnsi" w:cs="Arial"/>
        </w:rPr>
        <w:t xml:space="preserve">que </w:t>
      </w:r>
      <w:r w:rsidRPr="0021622B">
        <w:rPr>
          <w:rFonts w:asciiTheme="majorHAnsi" w:hAnsiTheme="majorHAnsi" w:cs="Arial"/>
        </w:rPr>
        <w:t>o limite de detecção da falha ou evento adverso pode estar com ajuste inapropriado. Qualquer que seja a situação, o fato é que o alarme não está funcionado adequadamente.</w:t>
      </w:r>
      <w:r w:rsidR="000B20D8" w:rsidRPr="0021622B">
        <w:rPr>
          <w:rFonts w:asciiTheme="majorHAnsi" w:hAnsiTheme="majorHAnsi" w:cs="Arial"/>
        </w:rPr>
        <w:t xml:space="preserve"> A ilustração presente na </w:t>
      </w:r>
      <w:r w:rsidR="006227BA" w:rsidRPr="0021622B">
        <w:rPr>
          <w:rFonts w:asciiTheme="majorHAnsi" w:hAnsiTheme="majorHAnsi" w:cs="Arial"/>
        </w:rPr>
        <w:fldChar w:fldCharType="begin"/>
      </w:r>
      <w:r w:rsidR="006227BA" w:rsidRPr="0021622B">
        <w:rPr>
          <w:rFonts w:asciiTheme="majorHAnsi" w:hAnsiTheme="majorHAnsi" w:cs="Arial"/>
        </w:rPr>
        <w:instrText xml:space="preserve"> REF _Ref477605095 \r \h </w:instrText>
      </w:r>
      <w:r w:rsidR="0021622B" w:rsidRPr="0021622B">
        <w:rPr>
          <w:rFonts w:asciiTheme="majorHAnsi" w:hAnsiTheme="majorHAnsi" w:cs="Arial"/>
        </w:rPr>
        <w:instrText xml:space="preserve"> \* MERGEFORMAT </w:instrText>
      </w:r>
      <w:r w:rsidR="006227BA" w:rsidRPr="0021622B">
        <w:rPr>
          <w:rFonts w:asciiTheme="majorHAnsi" w:hAnsiTheme="majorHAnsi" w:cs="Arial"/>
        </w:rPr>
      </w:r>
      <w:r w:rsidR="006227BA" w:rsidRPr="0021622B">
        <w:rPr>
          <w:rFonts w:asciiTheme="majorHAnsi" w:hAnsiTheme="majorHAnsi" w:cs="Arial"/>
        </w:rPr>
        <w:fldChar w:fldCharType="separate"/>
      </w:r>
      <w:r w:rsidR="00DA3A7D">
        <w:rPr>
          <w:rFonts w:asciiTheme="majorHAnsi" w:hAnsiTheme="majorHAnsi" w:cs="Arial"/>
        </w:rPr>
        <w:t>Figura 5</w:t>
      </w:r>
      <w:r w:rsidR="006227BA" w:rsidRPr="0021622B">
        <w:rPr>
          <w:rFonts w:asciiTheme="majorHAnsi" w:hAnsiTheme="majorHAnsi" w:cs="Arial"/>
        </w:rPr>
        <w:fldChar w:fldCharType="end"/>
      </w:r>
      <w:r w:rsidR="006227BA" w:rsidRPr="0021622B">
        <w:rPr>
          <w:rFonts w:asciiTheme="majorHAnsi" w:hAnsiTheme="majorHAnsi" w:cs="Arial"/>
        </w:rPr>
        <w:t xml:space="preserve"> </w:t>
      </w:r>
      <w:r w:rsidR="000B20D8" w:rsidRPr="0021622B">
        <w:rPr>
          <w:rFonts w:asciiTheme="majorHAnsi" w:hAnsiTheme="majorHAnsi" w:cs="Arial"/>
        </w:rPr>
        <w:t>apresenta diversos tipos de possíveis alarmes visuais tipicamente encontrados em equipamentos eletromédicos.</w:t>
      </w:r>
    </w:p>
    <w:p w14:paraId="14929C89" w14:textId="44AEBE41" w:rsidR="00BF26EA" w:rsidRPr="0021622B" w:rsidRDefault="00BF26EA" w:rsidP="00B125DD">
      <w:pPr>
        <w:spacing w:line="360" w:lineRule="auto"/>
        <w:jc w:val="both"/>
        <w:rPr>
          <w:rFonts w:asciiTheme="majorHAnsi" w:hAnsiTheme="majorHAnsi" w:cs="Arial"/>
        </w:rPr>
      </w:pPr>
      <w:r w:rsidRPr="0021622B">
        <w:rPr>
          <w:rFonts w:asciiTheme="majorHAnsi" w:hAnsiTheme="majorHAnsi" w:cs="Arial"/>
        </w:rPr>
        <w:t xml:space="preserve">A norma colateral IEC 60601-1-8 relata que uma motivação para sua existência é a insatisfação que profissionais da saúde relatam quanto à funcionalidade dos alarmes de muitos equipamentos eletromédicos. Há relatos da dificuldade em </w:t>
      </w:r>
      <w:r w:rsidR="006227BA" w:rsidRPr="0021622B">
        <w:rPr>
          <w:rFonts w:asciiTheme="majorHAnsi" w:hAnsiTheme="majorHAnsi" w:cs="Arial"/>
        </w:rPr>
        <w:t>se diferenciar situações de alto risco de situações de baixo risco</w:t>
      </w:r>
      <w:r w:rsidRPr="0021622B">
        <w:rPr>
          <w:rFonts w:asciiTheme="majorHAnsi" w:hAnsiTheme="majorHAnsi" w:cs="Arial"/>
        </w:rPr>
        <w:t xml:space="preserve">, bem como </w:t>
      </w:r>
      <w:r w:rsidR="006227BA" w:rsidRPr="0021622B">
        <w:rPr>
          <w:rFonts w:asciiTheme="majorHAnsi" w:hAnsiTheme="majorHAnsi" w:cs="Arial"/>
        </w:rPr>
        <w:t xml:space="preserve">diferenciar </w:t>
      </w:r>
      <w:r w:rsidRPr="0021622B">
        <w:rPr>
          <w:rFonts w:asciiTheme="majorHAnsi" w:hAnsiTheme="majorHAnsi" w:cs="Arial"/>
        </w:rPr>
        <w:t xml:space="preserve">a origem de diferentes alarmes sonoros quando emitidos simultaneamente por diversos aparelhos. </w:t>
      </w:r>
      <w:r w:rsidR="0010372E" w:rsidRPr="0021622B">
        <w:rPr>
          <w:rFonts w:asciiTheme="majorHAnsi" w:hAnsiTheme="majorHAnsi" w:cs="Arial"/>
        </w:rPr>
        <w:t xml:space="preserve">Muitas vezes, os profissionais costumam optar, erroneamente, por </w:t>
      </w:r>
      <w:r w:rsidRPr="0021622B">
        <w:rPr>
          <w:rFonts w:asciiTheme="majorHAnsi" w:hAnsiTheme="majorHAnsi" w:cs="Arial"/>
        </w:rPr>
        <w:t>desativa</w:t>
      </w:r>
      <w:r w:rsidR="0010372E" w:rsidRPr="0021622B">
        <w:rPr>
          <w:rFonts w:asciiTheme="majorHAnsi" w:hAnsiTheme="majorHAnsi" w:cs="Arial"/>
        </w:rPr>
        <w:t xml:space="preserve">r </w:t>
      </w:r>
      <w:r w:rsidRPr="0021622B">
        <w:rPr>
          <w:rFonts w:asciiTheme="majorHAnsi" w:hAnsiTheme="majorHAnsi" w:cs="Arial"/>
        </w:rPr>
        <w:t>o alarme.</w:t>
      </w:r>
    </w:p>
    <w:p w14:paraId="3BAFB18F" w14:textId="16E5B500" w:rsidR="001803F7" w:rsidRDefault="001803F7" w:rsidP="00B125DD">
      <w:pPr>
        <w:pStyle w:val="FIGURA"/>
        <w:spacing w:after="160" w:line="360" w:lineRule="auto"/>
        <w:rPr>
          <w:rFonts w:asciiTheme="majorHAnsi" w:hAnsiTheme="majorHAnsi"/>
        </w:rPr>
      </w:pPr>
      <w:r w:rsidRPr="0021622B">
        <w:rPr>
          <w:rFonts w:asciiTheme="majorHAnsi" w:hAnsiTheme="majorHAnsi"/>
        </w:rPr>
        <w:lastRenderedPageBreak/>
        <w:t> </w:t>
      </w:r>
      <w:bookmarkStart w:id="235" w:name="_Ref477605095"/>
      <w:bookmarkStart w:id="236" w:name="_Toc478904199"/>
      <w:bookmarkStart w:id="237" w:name="_Toc478924527"/>
      <w:bookmarkStart w:id="238" w:name="_Toc478924564"/>
      <w:bookmarkStart w:id="239" w:name="_Toc478999528"/>
      <w:bookmarkStart w:id="240" w:name="_Toc479021572"/>
      <w:r w:rsidRPr="0021622B">
        <w:rPr>
          <w:rFonts w:asciiTheme="majorHAnsi" w:hAnsiTheme="majorHAnsi"/>
        </w:rPr>
        <w:t>Exemplos de diversos alarmes de equipamentos eletromédicos e de monitoramento das condições ambientes.</w:t>
      </w:r>
      <w:bookmarkEnd w:id="235"/>
      <w:bookmarkEnd w:id="236"/>
      <w:bookmarkEnd w:id="237"/>
      <w:bookmarkEnd w:id="238"/>
      <w:bookmarkEnd w:id="239"/>
      <w:bookmarkEnd w:id="240"/>
    </w:p>
    <w:p w14:paraId="6E668F81" w14:textId="7D6A644F" w:rsidR="00DC6A88" w:rsidRDefault="00685A16" w:rsidP="00685A16">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1616F957" wp14:editId="19FAB402">
            <wp:extent cx="4808220" cy="3977640"/>
            <wp:effectExtent l="0" t="0" r="0" b="381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08220" cy="3977640"/>
                    </a:xfrm>
                    <a:prstGeom prst="rect">
                      <a:avLst/>
                    </a:prstGeom>
                    <a:noFill/>
                  </pic:spPr>
                </pic:pic>
              </a:graphicData>
            </a:graphic>
          </wp:inline>
        </w:drawing>
      </w:r>
    </w:p>
    <w:p w14:paraId="0150F98E" w14:textId="5372990B" w:rsidR="00685A16" w:rsidRDefault="00685A16" w:rsidP="00DC6A88">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1A4579A6" wp14:editId="4A2047E3">
            <wp:extent cx="4754880" cy="3947160"/>
            <wp:effectExtent l="0" t="0" r="7620"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54880" cy="3947160"/>
                    </a:xfrm>
                    <a:prstGeom prst="rect">
                      <a:avLst/>
                    </a:prstGeom>
                    <a:noFill/>
                  </pic:spPr>
                </pic:pic>
              </a:graphicData>
            </a:graphic>
          </wp:inline>
        </w:drawing>
      </w:r>
    </w:p>
    <w:p w14:paraId="0064B925" w14:textId="77777777" w:rsidR="00685A16" w:rsidRDefault="00685A16" w:rsidP="00DC6A88">
      <w:pPr>
        <w:pStyle w:val="FIGURA"/>
        <w:numPr>
          <w:ilvl w:val="0"/>
          <w:numId w:val="0"/>
        </w:numPr>
        <w:spacing w:after="160" w:line="360" w:lineRule="auto"/>
        <w:ind w:firstLine="567"/>
        <w:rPr>
          <w:rFonts w:asciiTheme="majorHAnsi" w:hAnsiTheme="majorHAnsi"/>
        </w:rPr>
      </w:pPr>
    </w:p>
    <w:p w14:paraId="41C1E2D2" w14:textId="4349AC4B" w:rsidR="00685A16" w:rsidRDefault="00685A16" w:rsidP="00DC6A88">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715AC06F" wp14:editId="0631D826">
            <wp:extent cx="4746684" cy="3935730"/>
            <wp:effectExtent l="0" t="0" r="0" b="762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51268" cy="3939531"/>
                    </a:xfrm>
                    <a:prstGeom prst="rect">
                      <a:avLst/>
                    </a:prstGeom>
                    <a:noFill/>
                  </pic:spPr>
                </pic:pic>
              </a:graphicData>
            </a:graphic>
          </wp:inline>
        </w:drawing>
      </w:r>
    </w:p>
    <w:p w14:paraId="5FDE9DF3" w14:textId="530EC263" w:rsidR="00685A16" w:rsidRDefault="00685A16" w:rsidP="00DC6A88">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378680F3" wp14:editId="1C7BF411">
            <wp:extent cx="4729469" cy="3895725"/>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735601" cy="3900776"/>
                    </a:xfrm>
                    <a:prstGeom prst="rect">
                      <a:avLst/>
                    </a:prstGeom>
                    <a:noFill/>
                  </pic:spPr>
                </pic:pic>
              </a:graphicData>
            </a:graphic>
          </wp:inline>
        </w:drawing>
      </w:r>
    </w:p>
    <w:p w14:paraId="2E8305DC" w14:textId="7EC22387" w:rsidR="00DC6A88" w:rsidRDefault="00685A16" w:rsidP="00685A16">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lastRenderedPageBreak/>
        <w:drawing>
          <wp:inline distT="0" distB="0" distL="0" distR="0" wp14:anchorId="1A510FA1" wp14:editId="2905F262">
            <wp:extent cx="4876800" cy="3992880"/>
            <wp:effectExtent l="0" t="0" r="0" b="762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3992880"/>
                    </a:xfrm>
                    <a:prstGeom prst="rect">
                      <a:avLst/>
                    </a:prstGeom>
                    <a:noFill/>
                  </pic:spPr>
                </pic:pic>
              </a:graphicData>
            </a:graphic>
          </wp:inline>
        </w:drawing>
      </w:r>
    </w:p>
    <w:p w14:paraId="7C6D0F0A" w14:textId="4DACF2C5" w:rsidR="00E865DE" w:rsidRPr="0021622B" w:rsidRDefault="00E865DE" w:rsidP="00B125DD">
      <w:pPr>
        <w:spacing w:line="360" w:lineRule="auto"/>
        <w:jc w:val="both"/>
        <w:rPr>
          <w:rFonts w:asciiTheme="majorHAnsi" w:hAnsiTheme="majorHAnsi" w:cs="Arial"/>
        </w:rPr>
      </w:pPr>
      <w:r w:rsidRPr="0021622B">
        <w:rPr>
          <w:rFonts w:asciiTheme="majorHAnsi" w:hAnsiTheme="majorHAnsi" w:cs="Arial"/>
        </w:rPr>
        <w:t xml:space="preserve">A organização responsável pela instalação do equipamento eletromédico deve estar atenta para as diferenças e semelhanças entre os alarmes de diferentes equipamentos instalados no mesmo ambiente. O engenheiro biomédico, atuando na atividade de engenharia clínica, deve ser capaz de ajustar e regular os diversos alarmes, estabelecendo um mapa visual e sonoro de alertas para </w:t>
      </w:r>
      <w:r w:rsidR="006227BA" w:rsidRPr="0021622B">
        <w:rPr>
          <w:rFonts w:asciiTheme="majorHAnsi" w:hAnsiTheme="majorHAnsi" w:cs="Arial"/>
        </w:rPr>
        <w:t>cada</w:t>
      </w:r>
      <w:r w:rsidRPr="0021622B">
        <w:rPr>
          <w:rFonts w:asciiTheme="majorHAnsi" w:hAnsiTheme="majorHAnsi" w:cs="Arial"/>
        </w:rPr>
        <w:t xml:space="preserve"> situação de emergência ou </w:t>
      </w:r>
      <w:r w:rsidR="006227BA" w:rsidRPr="0021622B">
        <w:rPr>
          <w:rFonts w:asciiTheme="majorHAnsi" w:hAnsiTheme="majorHAnsi" w:cs="Arial"/>
        </w:rPr>
        <w:t xml:space="preserve">de </w:t>
      </w:r>
      <w:r w:rsidRPr="0021622B">
        <w:rPr>
          <w:rFonts w:asciiTheme="majorHAnsi" w:hAnsiTheme="majorHAnsi" w:cs="Arial"/>
        </w:rPr>
        <w:t>atenção. A equipe de profissionais de saúde deve fazer parte ativamente da elaboração deste mapa e deve ser treinada para as diversas possíveis ocorrências. Mas para isso acontecer efetivamente, os alarmes devem ter sido projetados e avaliados de acordo com os requisitos desta norma colateral.</w:t>
      </w:r>
    </w:p>
    <w:p w14:paraId="73065ED0" w14:textId="2D513FE3" w:rsidR="00E865DE" w:rsidRPr="00A47DF3" w:rsidRDefault="00E865DE"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241" w:name="_Toc478923609"/>
      <w:bookmarkStart w:id="242" w:name="_Toc478923969"/>
      <w:bookmarkStart w:id="243" w:name="_Toc478924080"/>
      <w:bookmarkStart w:id="244" w:name="_Toc478924202"/>
      <w:bookmarkStart w:id="245" w:name="_Toc478925007"/>
      <w:bookmarkStart w:id="246" w:name="_Toc478926213"/>
      <w:bookmarkStart w:id="247" w:name="_Toc478926339"/>
      <w:bookmarkStart w:id="248" w:name="_Toc479013878"/>
      <w:bookmarkStart w:id="249" w:name="_Toc482620249"/>
      <w:r w:rsidRPr="00A47DF3">
        <w:rPr>
          <w:rFonts w:ascii="Calibri Light" w:hAnsi="Calibri Light"/>
          <w:color w:val="0066B2"/>
          <w:sz w:val="32"/>
          <w:szCs w:val="32"/>
        </w:rPr>
        <w:t>O que deve ser avaliado em alarmes</w:t>
      </w:r>
      <w:bookmarkEnd w:id="241"/>
      <w:bookmarkEnd w:id="242"/>
      <w:bookmarkEnd w:id="243"/>
      <w:bookmarkEnd w:id="244"/>
      <w:bookmarkEnd w:id="245"/>
      <w:bookmarkEnd w:id="246"/>
      <w:bookmarkEnd w:id="247"/>
      <w:bookmarkEnd w:id="248"/>
      <w:bookmarkEnd w:id="249"/>
    </w:p>
    <w:p w14:paraId="71EFBF10" w14:textId="73ABEA5F" w:rsidR="00E865DE" w:rsidRPr="0021622B" w:rsidRDefault="004E1600" w:rsidP="00B125DD">
      <w:pPr>
        <w:spacing w:line="360" w:lineRule="auto"/>
        <w:jc w:val="both"/>
        <w:rPr>
          <w:rFonts w:asciiTheme="majorHAnsi" w:hAnsiTheme="majorHAnsi" w:cs="Arial"/>
        </w:rPr>
      </w:pPr>
      <w:r w:rsidRPr="0021622B">
        <w:rPr>
          <w:rFonts w:asciiTheme="majorHAnsi" w:hAnsiTheme="majorHAnsi" w:cs="Arial"/>
        </w:rPr>
        <w:t>Resumidamente, o gerenciamento de risco de um equipamento eletromédico deve estabelecer as condições em que os alarmes:</w:t>
      </w:r>
    </w:p>
    <w:p w14:paraId="254B3593" w14:textId="592435CF" w:rsidR="004E1600" w:rsidRPr="0021622B" w:rsidRDefault="004E1600"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t>São acionados, definindo as condições de início de funcionamento do alarme</w:t>
      </w:r>
      <w:r w:rsidR="006227BA" w:rsidRPr="0021622B">
        <w:rPr>
          <w:rFonts w:asciiTheme="majorHAnsi" w:hAnsiTheme="majorHAnsi" w:cs="Arial"/>
        </w:rPr>
        <w:t>, incluindo</w:t>
      </w:r>
      <w:r w:rsidRPr="0021622B">
        <w:rPr>
          <w:rFonts w:asciiTheme="majorHAnsi" w:hAnsiTheme="majorHAnsi" w:cs="Arial"/>
        </w:rPr>
        <w:t xml:space="preserve"> limites superiores ou inferiores do parâmetro monitorado</w:t>
      </w:r>
      <w:r w:rsidR="00222529" w:rsidRPr="0021622B">
        <w:rPr>
          <w:rFonts w:asciiTheme="majorHAnsi" w:hAnsiTheme="majorHAnsi" w:cs="Arial"/>
        </w:rPr>
        <w:t xml:space="preserve"> e sendo</w:t>
      </w:r>
      <w:r w:rsidRPr="0021622B">
        <w:rPr>
          <w:rFonts w:asciiTheme="majorHAnsi" w:hAnsiTheme="majorHAnsi" w:cs="Arial"/>
        </w:rPr>
        <w:t xml:space="preserve"> claramente diferenciáveis;</w:t>
      </w:r>
    </w:p>
    <w:p w14:paraId="3F0C9435" w14:textId="390B38EF" w:rsidR="004E1600" w:rsidRPr="0021622B" w:rsidRDefault="004E1600"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t>São desligados, definindo as condições de desarmamento</w:t>
      </w:r>
      <w:r w:rsidR="002D3242" w:rsidRPr="0021622B">
        <w:rPr>
          <w:rFonts w:asciiTheme="majorHAnsi" w:hAnsiTheme="majorHAnsi" w:cs="Arial"/>
        </w:rPr>
        <w:t>; o funcionamento do alarme pode ser interrompido ou após um período pré-determinado ou após o término da condição adversa; o</w:t>
      </w:r>
      <w:r w:rsidRPr="0021622B">
        <w:rPr>
          <w:rFonts w:asciiTheme="majorHAnsi" w:hAnsiTheme="majorHAnsi" w:cs="Arial"/>
        </w:rPr>
        <w:t xml:space="preserve"> gerenciamento de risco deve </w:t>
      </w:r>
      <w:r w:rsidR="002D3242" w:rsidRPr="0021622B">
        <w:rPr>
          <w:rFonts w:asciiTheme="majorHAnsi" w:hAnsiTheme="majorHAnsi" w:cs="Arial"/>
        </w:rPr>
        <w:t xml:space="preserve">analisar </w:t>
      </w:r>
      <w:r w:rsidRPr="0021622B">
        <w:rPr>
          <w:rFonts w:asciiTheme="majorHAnsi" w:hAnsiTheme="majorHAnsi" w:cs="Arial"/>
        </w:rPr>
        <w:t xml:space="preserve">que tipo de situação adversa pode ou não ter seu alarme desligado por tempo </w:t>
      </w:r>
      <w:r w:rsidR="002D3242" w:rsidRPr="0021622B">
        <w:rPr>
          <w:rFonts w:asciiTheme="majorHAnsi" w:hAnsiTheme="majorHAnsi" w:cs="Arial"/>
        </w:rPr>
        <w:t>após o início do seu funcionamento</w:t>
      </w:r>
      <w:r w:rsidRPr="0021622B">
        <w:rPr>
          <w:rFonts w:asciiTheme="majorHAnsi" w:hAnsiTheme="majorHAnsi" w:cs="Arial"/>
        </w:rPr>
        <w:t>;</w:t>
      </w:r>
    </w:p>
    <w:p w14:paraId="154A3D11" w14:textId="57924304" w:rsidR="004E1600" w:rsidRPr="0021622B" w:rsidRDefault="002D3242"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lastRenderedPageBreak/>
        <w:t>D</w:t>
      </w:r>
      <w:r w:rsidR="00222529" w:rsidRPr="0021622B">
        <w:rPr>
          <w:rFonts w:asciiTheme="majorHAnsi" w:hAnsiTheme="majorHAnsi" w:cs="Arial"/>
        </w:rPr>
        <w:t xml:space="preserve">evem </w:t>
      </w:r>
      <w:r w:rsidR="004E1600" w:rsidRPr="0021622B">
        <w:rPr>
          <w:rFonts w:asciiTheme="majorHAnsi" w:hAnsiTheme="majorHAnsi" w:cs="Arial"/>
        </w:rPr>
        <w:t>estabelecer uma ordem de prioridade do acionamento e desarme dos alarmes</w:t>
      </w:r>
      <w:r w:rsidR="00222529" w:rsidRPr="0021622B">
        <w:rPr>
          <w:rFonts w:asciiTheme="majorHAnsi" w:hAnsiTheme="majorHAnsi" w:cs="Arial"/>
        </w:rPr>
        <w:t>, caso ocorram várias situações adversas ou falhas simultaneamente</w:t>
      </w:r>
      <w:r w:rsidR="004E1600" w:rsidRPr="0021622B">
        <w:rPr>
          <w:rFonts w:asciiTheme="majorHAnsi" w:hAnsiTheme="majorHAnsi" w:cs="Arial"/>
        </w:rPr>
        <w:t>;</w:t>
      </w:r>
    </w:p>
    <w:p w14:paraId="7DB418EF" w14:textId="32C2F9F5" w:rsidR="004E1600" w:rsidRPr="0021622B" w:rsidRDefault="00222529"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t>Emitem o nível de pressão sonora e sua respectiva frequência;</w:t>
      </w:r>
    </w:p>
    <w:p w14:paraId="52F668E0" w14:textId="5BA9586D" w:rsidR="004E1600" w:rsidRPr="0021622B" w:rsidRDefault="00222529"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t xml:space="preserve">Emitem determinados tipos de sinal sonoro, considerando o tipo de falha ou evento adverso que está em curso, principalmente os </w:t>
      </w:r>
      <w:proofErr w:type="spellStart"/>
      <w:r w:rsidRPr="0021622B">
        <w:rPr>
          <w:rFonts w:asciiTheme="majorHAnsi" w:hAnsiTheme="majorHAnsi" w:cs="Arial"/>
          <w:i/>
        </w:rPr>
        <w:t>bursts</w:t>
      </w:r>
      <w:proofErr w:type="spellEnd"/>
      <w:r w:rsidRPr="0021622B">
        <w:rPr>
          <w:rFonts w:asciiTheme="majorHAnsi" w:hAnsiTheme="majorHAnsi" w:cs="Arial"/>
        </w:rPr>
        <w:t xml:space="preserve"> (salva de </w:t>
      </w:r>
      <w:proofErr w:type="spellStart"/>
      <w:r w:rsidRPr="0021622B">
        <w:rPr>
          <w:rFonts w:asciiTheme="majorHAnsi" w:hAnsiTheme="majorHAnsi" w:cs="Arial"/>
        </w:rPr>
        <w:t>senóides</w:t>
      </w:r>
      <w:proofErr w:type="spellEnd"/>
      <w:r w:rsidRPr="0021622B">
        <w:rPr>
          <w:rFonts w:asciiTheme="majorHAnsi" w:hAnsiTheme="majorHAnsi" w:cs="Arial"/>
        </w:rPr>
        <w:t xml:space="preserve"> intermitentes), os pulsos (sinais de curta duração) e os sinais contínuos;</w:t>
      </w:r>
    </w:p>
    <w:p w14:paraId="633AF981" w14:textId="10A22A74" w:rsidR="004E1600" w:rsidRPr="0021622B" w:rsidRDefault="00222529" w:rsidP="00F00ED4">
      <w:pPr>
        <w:pStyle w:val="PargrafodaLista"/>
        <w:numPr>
          <w:ilvl w:val="0"/>
          <w:numId w:val="7"/>
        </w:numPr>
        <w:spacing w:line="360" w:lineRule="auto"/>
        <w:jc w:val="both"/>
        <w:rPr>
          <w:rFonts w:asciiTheme="majorHAnsi" w:hAnsiTheme="majorHAnsi" w:cs="Arial"/>
        </w:rPr>
      </w:pPr>
      <w:r w:rsidRPr="0021622B">
        <w:rPr>
          <w:rFonts w:asciiTheme="majorHAnsi" w:hAnsiTheme="majorHAnsi" w:cs="Arial"/>
        </w:rPr>
        <w:t>Emitem mensagens de voz pré-definidas, atentando para o idioma e para possíveis erros de interpretação por parte do usuário.</w:t>
      </w:r>
    </w:p>
    <w:p w14:paraId="1B306130" w14:textId="77777777" w:rsidR="004E1600" w:rsidRPr="0021622B" w:rsidRDefault="004E1600" w:rsidP="00B125DD">
      <w:pPr>
        <w:spacing w:line="360" w:lineRule="auto"/>
        <w:jc w:val="both"/>
        <w:rPr>
          <w:rFonts w:asciiTheme="majorHAnsi" w:hAnsiTheme="majorHAnsi" w:cs="Arial"/>
        </w:rPr>
      </w:pPr>
    </w:p>
    <w:p w14:paraId="29AE371F" w14:textId="0B67952A" w:rsidR="004E1600" w:rsidRPr="0021622B" w:rsidRDefault="004E1600" w:rsidP="00B125DD">
      <w:pPr>
        <w:spacing w:line="360" w:lineRule="auto"/>
        <w:ind w:firstLine="567"/>
        <w:jc w:val="both"/>
        <w:rPr>
          <w:rFonts w:asciiTheme="majorHAnsi" w:hAnsiTheme="majorHAnsi" w:cs="Arial"/>
        </w:rPr>
      </w:pPr>
      <w:r w:rsidRPr="0021622B">
        <w:rPr>
          <w:rFonts w:asciiTheme="majorHAnsi" w:hAnsiTheme="majorHAnsi" w:cs="Arial"/>
        </w:rPr>
        <w:t xml:space="preserve">Cabe ao fabricante documentar apropriadamente o significado e </w:t>
      </w:r>
      <w:r w:rsidR="00222529" w:rsidRPr="0021622B">
        <w:rPr>
          <w:rFonts w:asciiTheme="majorHAnsi" w:hAnsiTheme="majorHAnsi" w:cs="Arial"/>
        </w:rPr>
        <w:t xml:space="preserve">as </w:t>
      </w:r>
      <w:r w:rsidRPr="0021622B">
        <w:rPr>
          <w:rFonts w:asciiTheme="majorHAnsi" w:hAnsiTheme="majorHAnsi" w:cs="Arial"/>
        </w:rPr>
        <w:t>situações de ocorrência de cada alarme.</w:t>
      </w:r>
    </w:p>
    <w:p w14:paraId="183AF492" w14:textId="05FB393C" w:rsidR="003E6B1F"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250" w:name="_Toc478923610"/>
      <w:bookmarkStart w:id="251" w:name="_Toc478923970"/>
      <w:bookmarkStart w:id="252" w:name="_Toc478924081"/>
      <w:bookmarkStart w:id="253" w:name="_Toc478924203"/>
      <w:bookmarkStart w:id="254" w:name="_Toc478925008"/>
      <w:bookmarkStart w:id="255" w:name="_Toc478926214"/>
      <w:bookmarkStart w:id="256" w:name="_Toc478926340"/>
      <w:bookmarkStart w:id="257" w:name="_Toc479013879"/>
      <w:bookmarkStart w:id="258" w:name="_Toc482620250"/>
      <w:r w:rsidRPr="00A47DF3">
        <w:rPr>
          <w:rFonts w:ascii="Calibri Light" w:hAnsi="Calibri Light"/>
          <w:b/>
          <w:color w:val="0066B2"/>
          <w:lang w:val="en-US"/>
        </w:rPr>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60601-1-9 – </w:t>
      </w:r>
      <w:r w:rsidRPr="00A47DF3">
        <w:rPr>
          <w:rFonts w:ascii="Calibri Light" w:hAnsi="Calibri Light"/>
          <w:b/>
          <w:i/>
          <w:color w:val="0066B2"/>
          <w:lang w:val="en-US"/>
        </w:rPr>
        <w:t>Requirements for environmentally conscious design</w:t>
      </w:r>
      <w:bookmarkEnd w:id="232"/>
      <w:bookmarkEnd w:id="233"/>
      <w:bookmarkEnd w:id="234"/>
      <w:bookmarkEnd w:id="250"/>
      <w:bookmarkEnd w:id="251"/>
      <w:bookmarkEnd w:id="252"/>
      <w:bookmarkEnd w:id="253"/>
      <w:bookmarkEnd w:id="254"/>
      <w:bookmarkEnd w:id="255"/>
      <w:bookmarkEnd w:id="256"/>
      <w:bookmarkEnd w:id="257"/>
      <w:bookmarkEnd w:id="258"/>
    </w:p>
    <w:p w14:paraId="30D62DF5" w14:textId="2372A657" w:rsidR="003E6B1F" w:rsidRPr="0021622B" w:rsidRDefault="00902127" w:rsidP="00B125DD">
      <w:pPr>
        <w:spacing w:line="360" w:lineRule="auto"/>
        <w:jc w:val="both"/>
        <w:rPr>
          <w:rFonts w:asciiTheme="majorHAnsi" w:hAnsiTheme="majorHAnsi" w:cs="Arial"/>
        </w:rPr>
      </w:pPr>
      <w:r w:rsidRPr="0021622B">
        <w:rPr>
          <w:rFonts w:asciiTheme="majorHAnsi" w:hAnsiTheme="majorHAnsi" w:cs="Arial"/>
        </w:rPr>
        <w:t>A norma co</w:t>
      </w:r>
      <w:r w:rsidR="00964690" w:rsidRPr="0021622B">
        <w:rPr>
          <w:rFonts w:asciiTheme="majorHAnsi" w:hAnsiTheme="majorHAnsi" w:cs="Arial"/>
        </w:rPr>
        <w:t>lateral trata dos aspectos relacionados ao projeto ecologicamente correto. Sua primeira edição foi publicada em 2007 e a edição atual é a versão 1.1, publicada em 2013 pelo subcomitê técnico IEC SCT 62A.</w:t>
      </w:r>
    </w:p>
    <w:p w14:paraId="2881802D" w14:textId="2EEAEA1F" w:rsidR="0078633F" w:rsidRPr="0021622B" w:rsidRDefault="0078633F" w:rsidP="00B125DD">
      <w:pPr>
        <w:spacing w:line="360" w:lineRule="auto"/>
        <w:jc w:val="both"/>
        <w:rPr>
          <w:rFonts w:asciiTheme="majorHAnsi" w:hAnsiTheme="majorHAnsi" w:cs="Arial"/>
        </w:rPr>
      </w:pPr>
      <w:r w:rsidRPr="0021622B">
        <w:rPr>
          <w:rFonts w:asciiTheme="majorHAnsi" w:hAnsiTheme="majorHAnsi" w:cs="Arial"/>
        </w:rPr>
        <w:t>A consciência ecológica da fabricação de bens de consumo, incluindo equipamentos eletromédicos, é uma realidade irreversível.</w:t>
      </w:r>
      <w:r w:rsidR="00964477" w:rsidRPr="0021622B">
        <w:rPr>
          <w:rFonts w:asciiTheme="majorHAnsi" w:hAnsiTheme="majorHAnsi" w:cs="Arial"/>
        </w:rPr>
        <w:t xml:space="preserve"> A preocupação com o meio ambiente deve fazer parte de toda perspectiva de desenvolvimento sustentável. Na área de gestão da qualidade, há muito tempo </w:t>
      </w:r>
      <w:r w:rsidR="00F31FF5" w:rsidRPr="0021622B">
        <w:rPr>
          <w:rFonts w:asciiTheme="majorHAnsi" w:hAnsiTheme="majorHAnsi" w:cs="Arial"/>
        </w:rPr>
        <w:t xml:space="preserve">está </w:t>
      </w:r>
      <w:r w:rsidR="00964477" w:rsidRPr="0021622B">
        <w:rPr>
          <w:rFonts w:asciiTheme="majorHAnsi" w:hAnsiTheme="majorHAnsi" w:cs="Arial"/>
        </w:rPr>
        <w:t xml:space="preserve">disponível a norma técnica ISO 14001 – Sistemas de gestão ambiental – Requisitos com orientações para uso (versão de 2015). </w:t>
      </w:r>
      <w:r w:rsidR="00F31FF5" w:rsidRPr="0021622B">
        <w:rPr>
          <w:rFonts w:asciiTheme="majorHAnsi" w:hAnsiTheme="majorHAnsi" w:cs="Arial"/>
        </w:rPr>
        <w:t xml:space="preserve">Ao </w:t>
      </w:r>
      <w:r w:rsidR="00964477" w:rsidRPr="0021622B">
        <w:rPr>
          <w:rFonts w:asciiTheme="majorHAnsi" w:hAnsiTheme="majorHAnsi" w:cs="Arial"/>
        </w:rPr>
        <w:t xml:space="preserve">normalizar o projeto, </w:t>
      </w:r>
      <w:r w:rsidR="00741F49" w:rsidRPr="0021622B">
        <w:rPr>
          <w:rFonts w:asciiTheme="majorHAnsi" w:hAnsiTheme="majorHAnsi" w:cs="Arial"/>
        </w:rPr>
        <w:t xml:space="preserve">a </w:t>
      </w:r>
      <w:r w:rsidR="00964477" w:rsidRPr="0021622B">
        <w:rPr>
          <w:rFonts w:asciiTheme="majorHAnsi" w:hAnsiTheme="majorHAnsi" w:cs="Arial"/>
        </w:rPr>
        <w:t xml:space="preserve">produção, </w:t>
      </w:r>
      <w:r w:rsidR="00741F49" w:rsidRPr="0021622B">
        <w:rPr>
          <w:rFonts w:asciiTheme="majorHAnsi" w:hAnsiTheme="majorHAnsi" w:cs="Arial"/>
        </w:rPr>
        <w:t xml:space="preserve">a </w:t>
      </w:r>
      <w:r w:rsidR="00964477" w:rsidRPr="0021622B">
        <w:rPr>
          <w:rFonts w:asciiTheme="majorHAnsi" w:hAnsiTheme="majorHAnsi" w:cs="Arial"/>
        </w:rPr>
        <w:t>comercialização</w:t>
      </w:r>
      <w:r w:rsidR="00741F49" w:rsidRPr="0021622B">
        <w:rPr>
          <w:rFonts w:asciiTheme="majorHAnsi" w:hAnsiTheme="majorHAnsi" w:cs="Arial"/>
        </w:rPr>
        <w:t xml:space="preserve"> e</w:t>
      </w:r>
      <w:r w:rsidR="00964477" w:rsidRPr="0021622B">
        <w:rPr>
          <w:rFonts w:asciiTheme="majorHAnsi" w:hAnsiTheme="majorHAnsi" w:cs="Arial"/>
        </w:rPr>
        <w:t xml:space="preserve"> o descarte do produto</w:t>
      </w:r>
      <w:r w:rsidR="00741F49" w:rsidRPr="0021622B">
        <w:rPr>
          <w:rFonts w:asciiTheme="majorHAnsi" w:hAnsiTheme="majorHAnsi" w:cs="Arial"/>
        </w:rPr>
        <w:t>, temos como objetivo propiciar</w:t>
      </w:r>
      <w:r w:rsidR="00964477" w:rsidRPr="0021622B">
        <w:rPr>
          <w:rFonts w:asciiTheme="majorHAnsi" w:hAnsiTheme="majorHAnsi" w:cs="Arial"/>
        </w:rPr>
        <w:t xml:space="preserve"> o menor impacto possível no meio ambiente, mantendo a qualidade técnica, </w:t>
      </w:r>
      <w:r w:rsidR="00741F49" w:rsidRPr="0021622B">
        <w:rPr>
          <w:rFonts w:asciiTheme="majorHAnsi" w:hAnsiTheme="majorHAnsi" w:cs="Arial"/>
        </w:rPr>
        <w:t xml:space="preserve">a </w:t>
      </w:r>
      <w:r w:rsidR="00964477" w:rsidRPr="0021622B">
        <w:rPr>
          <w:rFonts w:asciiTheme="majorHAnsi" w:hAnsiTheme="majorHAnsi" w:cs="Arial"/>
        </w:rPr>
        <w:t xml:space="preserve">segurança básica e </w:t>
      </w:r>
      <w:r w:rsidR="00741F49" w:rsidRPr="0021622B">
        <w:rPr>
          <w:rFonts w:asciiTheme="majorHAnsi" w:hAnsiTheme="majorHAnsi" w:cs="Arial"/>
        </w:rPr>
        <w:t xml:space="preserve">o </w:t>
      </w:r>
      <w:r w:rsidR="00964477" w:rsidRPr="0021622B">
        <w:rPr>
          <w:rFonts w:asciiTheme="majorHAnsi" w:hAnsiTheme="majorHAnsi" w:cs="Arial"/>
        </w:rPr>
        <w:t>desempenho essencial.</w:t>
      </w:r>
    </w:p>
    <w:p w14:paraId="638A7223" w14:textId="46A781F9" w:rsidR="00964477" w:rsidRPr="00A47DF3" w:rsidRDefault="00964477"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259" w:name="_Toc478923611"/>
      <w:bookmarkStart w:id="260" w:name="_Toc478923971"/>
      <w:bookmarkStart w:id="261" w:name="_Toc478924082"/>
      <w:bookmarkStart w:id="262" w:name="_Toc478924204"/>
      <w:bookmarkStart w:id="263" w:name="_Toc478925009"/>
      <w:bookmarkStart w:id="264" w:name="_Toc478926215"/>
      <w:bookmarkStart w:id="265" w:name="_Toc478926341"/>
      <w:bookmarkStart w:id="266" w:name="_Toc479013880"/>
      <w:bookmarkStart w:id="267" w:name="_Toc482620251"/>
      <w:r w:rsidRPr="00A47DF3">
        <w:rPr>
          <w:rFonts w:ascii="Calibri Light" w:hAnsi="Calibri Light"/>
          <w:color w:val="0066B2"/>
          <w:sz w:val="32"/>
          <w:szCs w:val="32"/>
        </w:rPr>
        <w:t xml:space="preserve">Projeto ecologicamente </w:t>
      </w:r>
      <w:r w:rsidR="004E6091" w:rsidRPr="00A47DF3">
        <w:rPr>
          <w:rFonts w:ascii="Calibri Light" w:hAnsi="Calibri Light"/>
          <w:color w:val="0066B2"/>
          <w:sz w:val="32"/>
          <w:szCs w:val="32"/>
        </w:rPr>
        <w:t>conscien</w:t>
      </w:r>
      <w:r w:rsidR="00741F49" w:rsidRPr="00A47DF3">
        <w:rPr>
          <w:rFonts w:ascii="Calibri Light" w:hAnsi="Calibri Light"/>
          <w:color w:val="0066B2"/>
          <w:sz w:val="32"/>
          <w:szCs w:val="32"/>
        </w:rPr>
        <w:t>te</w:t>
      </w:r>
      <w:bookmarkEnd w:id="259"/>
      <w:bookmarkEnd w:id="260"/>
      <w:bookmarkEnd w:id="261"/>
      <w:bookmarkEnd w:id="262"/>
      <w:bookmarkEnd w:id="263"/>
      <w:bookmarkEnd w:id="264"/>
      <w:bookmarkEnd w:id="265"/>
      <w:bookmarkEnd w:id="266"/>
      <w:bookmarkEnd w:id="267"/>
    </w:p>
    <w:p w14:paraId="51499C41" w14:textId="7872A65F" w:rsidR="00964477" w:rsidRPr="0021622B" w:rsidRDefault="00964477" w:rsidP="00B125DD">
      <w:pPr>
        <w:spacing w:line="360" w:lineRule="auto"/>
        <w:jc w:val="both"/>
        <w:rPr>
          <w:rFonts w:asciiTheme="majorHAnsi" w:hAnsiTheme="majorHAnsi" w:cs="Arial"/>
        </w:rPr>
      </w:pPr>
      <w:r w:rsidRPr="0021622B">
        <w:rPr>
          <w:rFonts w:asciiTheme="majorHAnsi" w:hAnsiTheme="majorHAnsi" w:cs="Arial"/>
        </w:rPr>
        <w:t xml:space="preserve">Assim como </w:t>
      </w:r>
      <w:r w:rsidR="00741F49" w:rsidRPr="0021622B">
        <w:rPr>
          <w:rFonts w:asciiTheme="majorHAnsi" w:hAnsiTheme="majorHAnsi" w:cs="Arial"/>
        </w:rPr>
        <w:t xml:space="preserve">o </w:t>
      </w:r>
      <w:r w:rsidRPr="0021622B">
        <w:rPr>
          <w:rFonts w:asciiTheme="majorHAnsi" w:hAnsiTheme="majorHAnsi" w:cs="Arial"/>
        </w:rPr>
        <w:t xml:space="preserve">gerenciamento de risco, o projeto ecologicamente consciente deve perpassar todo o ciclo de vida do equipamento eletromédico. Atender </w:t>
      </w:r>
      <w:r w:rsidR="00741F49" w:rsidRPr="0021622B">
        <w:rPr>
          <w:rFonts w:asciiTheme="majorHAnsi" w:hAnsiTheme="majorHAnsi" w:cs="Arial"/>
        </w:rPr>
        <w:t>a</w:t>
      </w:r>
      <w:r w:rsidRPr="0021622B">
        <w:rPr>
          <w:rFonts w:asciiTheme="majorHAnsi" w:hAnsiTheme="majorHAnsi" w:cs="Arial"/>
        </w:rPr>
        <w:t>os requisitos desta norma colateral permite que o fabricante</w:t>
      </w:r>
      <w:r w:rsidR="00741F49" w:rsidRPr="0021622B">
        <w:rPr>
          <w:rFonts w:asciiTheme="majorHAnsi" w:hAnsiTheme="majorHAnsi" w:cs="Arial"/>
        </w:rPr>
        <w:t xml:space="preserve">, a cada etapa do desenvolvimento, </w:t>
      </w:r>
      <w:r w:rsidRPr="0021622B">
        <w:rPr>
          <w:rFonts w:asciiTheme="majorHAnsi" w:hAnsiTheme="majorHAnsi" w:cs="Arial"/>
        </w:rPr>
        <w:t>avalie</w:t>
      </w:r>
      <w:r w:rsidR="007859DA" w:rsidRPr="0021622B">
        <w:rPr>
          <w:rFonts w:asciiTheme="majorHAnsi" w:hAnsiTheme="majorHAnsi" w:cs="Arial"/>
        </w:rPr>
        <w:t xml:space="preserve"> </w:t>
      </w:r>
      <w:r w:rsidR="00741F49" w:rsidRPr="0021622B">
        <w:rPr>
          <w:rFonts w:asciiTheme="majorHAnsi" w:hAnsiTheme="majorHAnsi" w:cs="Arial"/>
        </w:rPr>
        <w:t xml:space="preserve">a </w:t>
      </w:r>
      <w:r w:rsidRPr="0021622B">
        <w:rPr>
          <w:rFonts w:asciiTheme="majorHAnsi" w:hAnsiTheme="majorHAnsi" w:cs="Arial"/>
        </w:rPr>
        <w:t>utilização</w:t>
      </w:r>
      <w:r w:rsidR="00741F49" w:rsidRPr="0021622B">
        <w:rPr>
          <w:rFonts w:asciiTheme="majorHAnsi" w:hAnsiTheme="majorHAnsi" w:cs="Arial"/>
        </w:rPr>
        <w:t>,</w:t>
      </w:r>
      <w:r w:rsidRPr="0021622B">
        <w:rPr>
          <w:rFonts w:asciiTheme="majorHAnsi" w:hAnsiTheme="majorHAnsi" w:cs="Arial"/>
        </w:rPr>
        <w:t xml:space="preserve"> </w:t>
      </w:r>
      <w:r w:rsidR="00741F49" w:rsidRPr="0021622B">
        <w:rPr>
          <w:rFonts w:asciiTheme="majorHAnsi" w:hAnsiTheme="majorHAnsi" w:cs="Arial"/>
        </w:rPr>
        <w:t xml:space="preserve">o </w:t>
      </w:r>
      <w:r w:rsidRPr="0021622B">
        <w:rPr>
          <w:rFonts w:asciiTheme="majorHAnsi" w:hAnsiTheme="majorHAnsi" w:cs="Arial"/>
        </w:rPr>
        <w:t xml:space="preserve">descarte, </w:t>
      </w:r>
      <w:r w:rsidR="00741F49" w:rsidRPr="0021622B">
        <w:rPr>
          <w:rFonts w:asciiTheme="majorHAnsi" w:hAnsiTheme="majorHAnsi" w:cs="Arial"/>
        </w:rPr>
        <w:t xml:space="preserve">e os </w:t>
      </w:r>
      <w:r w:rsidRPr="0021622B">
        <w:rPr>
          <w:rFonts w:asciiTheme="majorHAnsi" w:hAnsiTheme="majorHAnsi" w:cs="Arial"/>
        </w:rPr>
        <w:t>insumos</w:t>
      </w:r>
      <w:r w:rsidR="00741F49" w:rsidRPr="0021622B">
        <w:rPr>
          <w:rFonts w:asciiTheme="majorHAnsi" w:hAnsiTheme="majorHAnsi" w:cs="Arial"/>
        </w:rPr>
        <w:t xml:space="preserve"> que</w:t>
      </w:r>
      <w:r w:rsidRPr="0021622B">
        <w:rPr>
          <w:rFonts w:asciiTheme="majorHAnsi" w:hAnsiTheme="majorHAnsi" w:cs="Arial"/>
        </w:rPr>
        <w:t xml:space="preserve"> levarão a um melhor aproveitamento dos recursos naturais. Por exemplo, construir um equipamento com a fonte de energia elétrica ecologicamente dimensionada permite não apenas economia na utilização dos materiais na sua manufatura, mas também um melhor aproveitamento energético durante seu tempo de vida. Isso pode fazer toda </w:t>
      </w:r>
      <w:r w:rsidR="00741F49" w:rsidRPr="0021622B">
        <w:rPr>
          <w:rFonts w:asciiTheme="majorHAnsi" w:hAnsiTheme="majorHAnsi" w:cs="Arial"/>
        </w:rPr>
        <w:t xml:space="preserve">a </w:t>
      </w:r>
      <w:r w:rsidRPr="0021622B">
        <w:rPr>
          <w:rFonts w:asciiTheme="majorHAnsi" w:hAnsiTheme="majorHAnsi" w:cs="Arial"/>
        </w:rPr>
        <w:t xml:space="preserve">diferença entre um produto bom e um produto excelente à luz da </w:t>
      </w:r>
      <w:r w:rsidRPr="0021622B">
        <w:rPr>
          <w:rFonts w:asciiTheme="majorHAnsi" w:hAnsiTheme="majorHAnsi" w:cs="Arial"/>
        </w:rPr>
        <w:lastRenderedPageBreak/>
        <w:t xml:space="preserve">economicidade </w:t>
      </w:r>
      <w:r w:rsidR="007859DA" w:rsidRPr="0021622B">
        <w:rPr>
          <w:rFonts w:asciiTheme="majorHAnsi" w:hAnsiTheme="majorHAnsi" w:cs="Arial"/>
        </w:rPr>
        <w:t>operacional, despertando</w:t>
      </w:r>
      <w:r w:rsidRPr="0021622B">
        <w:rPr>
          <w:rFonts w:asciiTheme="majorHAnsi" w:hAnsiTheme="majorHAnsi" w:cs="Arial"/>
        </w:rPr>
        <w:t xml:space="preserve"> maior interesse na aquisição. Empresas certificadas segundo a ISO 14001 levarão este quesito em conta na hora de especificar um equipamento para aquisição.</w:t>
      </w:r>
    </w:p>
    <w:p w14:paraId="5960D4D6" w14:textId="114C5440" w:rsidR="00964477" w:rsidRPr="0021622B" w:rsidRDefault="00964477" w:rsidP="00B125DD">
      <w:pPr>
        <w:spacing w:line="360" w:lineRule="auto"/>
        <w:jc w:val="both"/>
        <w:rPr>
          <w:rFonts w:asciiTheme="majorHAnsi" w:hAnsiTheme="majorHAnsi" w:cs="Arial"/>
        </w:rPr>
      </w:pPr>
      <w:r w:rsidRPr="0021622B">
        <w:rPr>
          <w:rFonts w:asciiTheme="majorHAnsi" w:hAnsiTheme="majorHAnsi" w:cs="Arial"/>
        </w:rPr>
        <w:t xml:space="preserve">Ademais, sendo obrigado a pensar em </w:t>
      </w:r>
      <w:r w:rsidR="0040270C" w:rsidRPr="0021622B">
        <w:rPr>
          <w:rFonts w:asciiTheme="majorHAnsi" w:hAnsiTheme="majorHAnsi" w:cs="Arial"/>
        </w:rPr>
        <w:t>economia de recursos naturais em todas as etapas do ciclo de vida do equipamento, o fabricante se vê envolvido com a busca de técnicas mais modernas de fabricação, resultando em um ambiente mais saudável inclusive para seus funcionários.</w:t>
      </w:r>
    </w:p>
    <w:p w14:paraId="26834C06" w14:textId="04EC6E80" w:rsidR="0040270C" w:rsidRPr="00A47DF3" w:rsidRDefault="0040270C" w:rsidP="00F00ED4">
      <w:pPr>
        <w:pStyle w:val="SUB-TTULO2"/>
        <w:numPr>
          <w:ilvl w:val="1"/>
          <w:numId w:val="6"/>
        </w:numPr>
        <w:spacing w:after="240" w:line="276" w:lineRule="auto"/>
        <w:ind w:left="567" w:hanging="567"/>
        <w:outlineLvl w:val="1"/>
        <w:rPr>
          <w:rFonts w:ascii="Calibri Light" w:hAnsi="Calibri Light"/>
          <w:color w:val="0066B2"/>
          <w:sz w:val="32"/>
          <w:szCs w:val="32"/>
        </w:rPr>
      </w:pPr>
      <w:bookmarkStart w:id="268" w:name="_Toc478923612"/>
      <w:bookmarkStart w:id="269" w:name="_Toc478923972"/>
      <w:bookmarkStart w:id="270" w:name="_Toc478924083"/>
      <w:bookmarkStart w:id="271" w:name="_Toc478924205"/>
      <w:bookmarkStart w:id="272" w:name="_Toc478925010"/>
      <w:bookmarkStart w:id="273" w:name="_Toc478926216"/>
      <w:bookmarkStart w:id="274" w:name="_Toc478926342"/>
      <w:bookmarkStart w:id="275" w:name="_Toc479013881"/>
      <w:bookmarkStart w:id="276" w:name="_Toc482620252"/>
      <w:r w:rsidRPr="00A47DF3">
        <w:rPr>
          <w:rFonts w:ascii="Calibri Light" w:hAnsi="Calibri Light"/>
          <w:color w:val="0066B2"/>
          <w:sz w:val="32"/>
          <w:szCs w:val="32"/>
        </w:rPr>
        <w:t>Economizando recursos e promovendo saúde</w:t>
      </w:r>
      <w:bookmarkEnd w:id="268"/>
      <w:bookmarkEnd w:id="269"/>
      <w:bookmarkEnd w:id="270"/>
      <w:bookmarkEnd w:id="271"/>
      <w:bookmarkEnd w:id="272"/>
      <w:bookmarkEnd w:id="273"/>
      <w:bookmarkEnd w:id="274"/>
      <w:bookmarkEnd w:id="275"/>
      <w:bookmarkEnd w:id="276"/>
    </w:p>
    <w:p w14:paraId="21EEA42B" w14:textId="76582E20" w:rsidR="00964477" w:rsidRPr="0021622B" w:rsidRDefault="0040270C" w:rsidP="00B125DD">
      <w:pPr>
        <w:spacing w:line="360" w:lineRule="auto"/>
        <w:jc w:val="both"/>
        <w:rPr>
          <w:rFonts w:asciiTheme="majorHAnsi" w:hAnsiTheme="majorHAnsi" w:cs="Arial"/>
        </w:rPr>
      </w:pPr>
      <w:r w:rsidRPr="0021622B">
        <w:rPr>
          <w:rFonts w:asciiTheme="majorHAnsi" w:hAnsiTheme="majorHAnsi" w:cs="Arial"/>
        </w:rPr>
        <w:t xml:space="preserve">A norma colateral IEC 60601-1-9 exemplifica como o uso de técnicas de gerenciamento de risco ecologicamente corretos pode ser econômico e </w:t>
      </w:r>
      <w:r w:rsidR="00597C48" w:rsidRPr="0021622B">
        <w:rPr>
          <w:rFonts w:asciiTheme="majorHAnsi" w:hAnsiTheme="majorHAnsi" w:cs="Arial"/>
        </w:rPr>
        <w:t>propiciar</w:t>
      </w:r>
      <w:r w:rsidRPr="0021622B">
        <w:rPr>
          <w:rFonts w:asciiTheme="majorHAnsi" w:hAnsiTheme="majorHAnsi" w:cs="Arial"/>
        </w:rPr>
        <w:t xml:space="preserve">, simultaneamente, aumento da qualidade e quantidade de atendimento de saúde. Um equipamento </w:t>
      </w:r>
      <w:r w:rsidR="00597C48" w:rsidRPr="0021622B">
        <w:rPr>
          <w:rFonts w:asciiTheme="majorHAnsi" w:hAnsiTheme="majorHAnsi" w:cs="Arial"/>
        </w:rPr>
        <w:t xml:space="preserve">como </w:t>
      </w:r>
      <w:r w:rsidRPr="0021622B">
        <w:rPr>
          <w:rFonts w:asciiTheme="majorHAnsi" w:hAnsiTheme="majorHAnsi" w:cs="Arial"/>
        </w:rPr>
        <w:t xml:space="preserve">um medidor </w:t>
      </w:r>
      <w:proofErr w:type="spellStart"/>
      <w:r w:rsidRPr="0021622B">
        <w:rPr>
          <w:rFonts w:asciiTheme="majorHAnsi" w:hAnsiTheme="majorHAnsi" w:cs="Arial"/>
        </w:rPr>
        <w:t>multiparamétrico</w:t>
      </w:r>
      <w:proofErr w:type="spellEnd"/>
      <w:r w:rsidRPr="0021622B">
        <w:rPr>
          <w:rFonts w:asciiTheme="majorHAnsi" w:hAnsiTheme="majorHAnsi" w:cs="Arial"/>
        </w:rPr>
        <w:t xml:space="preserve">, </w:t>
      </w:r>
      <w:r w:rsidR="00597C48" w:rsidRPr="0021622B">
        <w:rPr>
          <w:rFonts w:asciiTheme="majorHAnsi" w:hAnsiTheme="majorHAnsi" w:cs="Arial"/>
        </w:rPr>
        <w:t xml:space="preserve">projetado para dar suporte à vida, </w:t>
      </w:r>
      <w:r w:rsidRPr="0021622B">
        <w:rPr>
          <w:rFonts w:asciiTheme="majorHAnsi" w:hAnsiTheme="majorHAnsi" w:cs="Arial"/>
        </w:rPr>
        <w:t xml:space="preserve">é demasiadamente caro para se construir e </w:t>
      </w:r>
      <w:r w:rsidR="00597C48" w:rsidRPr="0021622B">
        <w:rPr>
          <w:rFonts w:asciiTheme="majorHAnsi" w:hAnsiTheme="majorHAnsi" w:cs="Arial"/>
        </w:rPr>
        <w:t xml:space="preserve">se </w:t>
      </w:r>
      <w:r w:rsidRPr="0021622B">
        <w:rPr>
          <w:rFonts w:asciiTheme="majorHAnsi" w:hAnsiTheme="majorHAnsi" w:cs="Arial"/>
        </w:rPr>
        <w:t xml:space="preserve">utilizar como coadjuvante no tratamento de uma doença simples. Esta preocupação não deve ser apenas da organização responsável pela operação do equipamento eletromédico, </w:t>
      </w:r>
      <w:r w:rsidR="00597C48" w:rsidRPr="0021622B">
        <w:rPr>
          <w:rFonts w:asciiTheme="majorHAnsi" w:hAnsiTheme="majorHAnsi" w:cs="Arial"/>
        </w:rPr>
        <w:t xml:space="preserve">pois deve </w:t>
      </w:r>
      <w:r w:rsidRPr="0021622B">
        <w:rPr>
          <w:rFonts w:asciiTheme="majorHAnsi" w:hAnsiTheme="majorHAnsi" w:cs="Arial"/>
        </w:rPr>
        <w:t>fazer parte do gerenciamento de risco que o fabricante elabora para seu produto. Cabe ao fabricante alertar ao usuário que o uso superlativo do equipamento pode acarretar consumo desnecessário ao meio ambiente, podendo haver alternativas mais adequadas ao uso pretendido.</w:t>
      </w:r>
    </w:p>
    <w:p w14:paraId="28C53D9D" w14:textId="5E289E3D" w:rsidR="003E6B1F"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277" w:name="_Toc475089833"/>
      <w:bookmarkStart w:id="278" w:name="_Toc475089958"/>
      <w:bookmarkStart w:id="279" w:name="_Toc475090200"/>
      <w:bookmarkStart w:id="280" w:name="_Toc478923613"/>
      <w:bookmarkStart w:id="281" w:name="_Toc478923973"/>
      <w:bookmarkStart w:id="282" w:name="_Toc478924084"/>
      <w:bookmarkStart w:id="283" w:name="_Toc478924206"/>
      <w:bookmarkStart w:id="284" w:name="_Toc478925011"/>
      <w:bookmarkStart w:id="285" w:name="_Toc478926217"/>
      <w:bookmarkStart w:id="286" w:name="_Toc478926343"/>
      <w:bookmarkStart w:id="287" w:name="_Toc479013882"/>
      <w:bookmarkStart w:id="288" w:name="_Toc482620253"/>
      <w:r w:rsidRPr="00A47DF3">
        <w:rPr>
          <w:rFonts w:ascii="Calibri Light" w:hAnsi="Calibri Light"/>
          <w:b/>
          <w:color w:val="0066B2"/>
          <w:lang w:val="en-US"/>
        </w:rPr>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60601-1-10 – Requirements for the development of physiologic closed-loop controllers</w:t>
      </w:r>
      <w:bookmarkEnd w:id="277"/>
      <w:bookmarkEnd w:id="278"/>
      <w:bookmarkEnd w:id="279"/>
      <w:bookmarkEnd w:id="280"/>
      <w:bookmarkEnd w:id="281"/>
      <w:bookmarkEnd w:id="282"/>
      <w:bookmarkEnd w:id="283"/>
      <w:bookmarkEnd w:id="284"/>
      <w:bookmarkEnd w:id="285"/>
      <w:bookmarkEnd w:id="286"/>
      <w:bookmarkEnd w:id="287"/>
      <w:bookmarkEnd w:id="288"/>
    </w:p>
    <w:p w14:paraId="63A529FA" w14:textId="28947EAA" w:rsidR="003E6B1F" w:rsidRPr="0021622B" w:rsidRDefault="000138A7" w:rsidP="00B125DD">
      <w:pPr>
        <w:pStyle w:val="TEXTO-SIMPLES"/>
        <w:spacing w:after="160"/>
        <w:ind w:firstLine="0"/>
        <w:rPr>
          <w:rFonts w:asciiTheme="majorHAnsi" w:hAnsiTheme="majorHAnsi"/>
        </w:rPr>
      </w:pPr>
      <w:r w:rsidRPr="0021622B">
        <w:rPr>
          <w:rFonts w:asciiTheme="majorHAnsi" w:hAnsiTheme="majorHAnsi"/>
        </w:rPr>
        <w:t xml:space="preserve">Esta norma foi elaborada pelo IEC STC 62A e teve sua edição atual publicada em 2013 como revisão da primeira edição publicada em 2007 (edição 2.1). A norma trata de requisitos para o desenvolvimento de controladores fisiológicos em malha fechada. Um controlador em malha fechada, segundo o conceito utilizado em engenharia, é aquele em que o sistema é corrigido (controlado) em função de medições feitas no próprio sistema. A </w:t>
      </w:r>
      <w:r w:rsidR="00233ABB" w:rsidRPr="0021622B">
        <w:rPr>
          <w:rFonts w:asciiTheme="majorHAnsi" w:hAnsiTheme="majorHAnsi"/>
        </w:rPr>
        <w:fldChar w:fldCharType="begin"/>
      </w:r>
      <w:r w:rsidR="00233ABB" w:rsidRPr="0021622B">
        <w:rPr>
          <w:rFonts w:asciiTheme="majorHAnsi" w:hAnsiTheme="majorHAnsi"/>
        </w:rPr>
        <w:instrText xml:space="preserve"> REF _Ref477605198 \r \h </w:instrText>
      </w:r>
      <w:r w:rsidR="0021622B" w:rsidRPr="0021622B">
        <w:rPr>
          <w:rFonts w:asciiTheme="majorHAnsi" w:hAnsiTheme="majorHAnsi"/>
        </w:rPr>
        <w:instrText xml:space="preserve"> \* MERGEFORMAT </w:instrText>
      </w:r>
      <w:r w:rsidR="00233ABB" w:rsidRPr="0021622B">
        <w:rPr>
          <w:rFonts w:asciiTheme="majorHAnsi" w:hAnsiTheme="majorHAnsi"/>
        </w:rPr>
      </w:r>
      <w:r w:rsidR="00233ABB" w:rsidRPr="0021622B">
        <w:rPr>
          <w:rFonts w:asciiTheme="majorHAnsi" w:hAnsiTheme="majorHAnsi"/>
        </w:rPr>
        <w:fldChar w:fldCharType="separate"/>
      </w:r>
      <w:r w:rsidR="00DA3A7D">
        <w:rPr>
          <w:rFonts w:asciiTheme="majorHAnsi" w:hAnsiTheme="majorHAnsi"/>
        </w:rPr>
        <w:t>Figura 6</w:t>
      </w:r>
      <w:r w:rsidR="00233ABB" w:rsidRPr="0021622B">
        <w:rPr>
          <w:rFonts w:asciiTheme="majorHAnsi" w:hAnsiTheme="majorHAnsi"/>
        </w:rPr>
        <w:fldChar w:fldCharType="end"/>
      </w:r>
      <w:r w:rsidR="00233ABB" w:rsidRPr="0021622B">
        <w:rPr>
          <w:rFonts w:asciiTheme="majorHAnsi" w:hAnsiTheme="majorHAnsi"/>
        </w:rPr>
        <w:t xml:space="preserve"> </w:t>
      </w:r>
      <w:r w:rsidR="008A6BF5" w:rsidRPr="0021622B">
        <w:rPr>
          <w:rFonts w:asciiTheme="majorHAnsi" w:hAnsiTheme="majorHAnsi"/>
        </w:rPr>
        <w:t>apresenta um exemplo esquemático de um sistema com controle em malha fechada. Há um valor de referência que deve ser utilizado para corrigir a saída do sistema. O sensor, neste caso, é qualquer tipo de sistema de medição capaz de prover os dados que o controlador irá utilizar para corrigir a entrada do sistema, corrigindo, por sua vez, a saída do sistema.</w:t>
      </w:r>
    </w:p>
    <w:p w14:paraId="2E8806BD" w14:textId="080A3E94" w:rsidR="00685A16" w:rsidRPr="00685A16" w:rsidRDefault="001803F7" w:rsidP="00685A16">
      <w:pPr>
        <w:pStyle w:val="FIGURA"/>
        <w:spacing w:after="160" w:line="360" w:lineRule="auto"/>
        <w:rPr>
          <w:rFonts w:asciiTheme="majorHAnsi" w:hAnsiTheme="majorHAnsi"/>
        </w:rPr>
      </w:pPr>
      <w:r w:rsidRPr="0021622B">
        <w:rPr>
          <w:rFonts w:asciiTheme="majorHAnsi" w:hAnsiTheme="majorHAnsi"/>
        </w:rPr>
        <w:lastRenderedPageBreak/>
        <w:t> </w:t>
      </w:r>
      <w:bookmarkStart w:id="289" w:name="_Ref477605198"/>
      <w:bookmarkStart w:id="290" w:name="_Toc478904200"/>
      <w:bookmarkStart w:id="291" w:name="_Toc478924528"/>
      <w:bookmarkStart w:id="292" w:name="_Toc478924565"/>
      <w:bookmarkStart w:id="293" w:name="_Toc478999529"/>
      <w:bookmarkStart w:id="294" w:name="_Toc479021573"/>
      <w:r w:rsidRPr="0021622B">
        <w:rPr>
          <w:rFonts w:asciiTheme="majorHAnsi" w:hAnsiTheme="majorHAnsi"/>
        </w:rPr>
        <w:t>Sistema com controle em malha fechada.</w:t>
      </w:r>
      <w:bookmarkEnd w:id="289"/>
      <w:bookmarkEnd w:id="290"/>
      <w:bookmarkEnd w:id="291"/>
      <w:bookmarkEnd w:id="292"/>
      <w:bookmarkEnd w:id="293"/>
      <w:bookmarkEnd w:id="294"/>
    </w:p>
    <w:p w14:paraId="544E48E9" w14:textId="464EC351" w:rsidR="00FE77C9" w:rsidRPr="0021622B" w:rsidRDefault="00685A16" w:rsidP="00685A16">
      <w:pPr>
        <w:pStyle w:val="FIGURA"/>
        <w:numPr>
          <w:ilvl w:val="0"/>
          <w:numId w:val="0"/>
        </w:numPr>
        <w:spacing w:after="160" w:line="360" w:lineRule="auto"/>
        <w:ind w:firstLine="567"/>
        <w:rPr>
          <w:rFonts w:asciiTheme="majorHAnsi" w:hAnsiTheme="majorHAnsi"/>
        </w:rPr>
      </w:pPr>
      <w:r>
        <w:rPr>
          <w:rFonts w:asciiTheme="majorHAnsi" w:hAnsiTheme="majorHAnsi"/>
          <w:noProof/>
          <w:lang w:eastAsia="pt-BR"/>
        </w:rPr>
        <w:drawing>
          <wp:inline distT="0" distB="0" distL="0" distR="0" wp14:anchorId="230CC79F" wp14:editId="4E100BAB">
            <wp:extent cx="4960620" cy="3977640"/>
            <wp:effectExtent l="0" t="0" r="0" b="381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60620" cy="3977640"/>
                    </a:xfrm>
                    <a:prstGeom prst="rect">
                      <a:avLst/>
                    </a:prstGeom>
                    <a:noFill/>
                  </pic:spPr>
                </pic:pic>
              </a:graphicData>
            </a:graphic>
          </wp:inline>
        </w:drawing>
      </w:r>
    </w:p>
    <w:p w14:paraId="1B631ACD" w14:textId="40EA9417" w:rsidR="00541D81" w:rsidRPr="0021622B" w:rsidRDefault="00CC7FEC" w:rsidP="00F74EBE">
      <w:pPr>
        <w:pStyle w:val="TEXTO-SIMPLES"/>
        <w:spacing w:after="160"/>
        <w:ind w:firstLine="0"/>
        <w:rPr>
          <w:rFonts w:asciiTheme="majorHAnsi" w:hAnsiTheme="majorHAnsi"/>
        </w:rPr>
      </w:pPr>
      <w:r w:rsidRPr="0021622B">
        <w:rPr>
          <w:rFonts w:asciiTheme="majorHAnsi" w:hAnsiTheme="majorHAnsi"/>
        </w:rPr>
        <w:t xml:space="preserve">Controladores fisiológicos, tais como entendidos nesta norma colateral, são aqueles que medem e analisam parâmetros ou variáveis fisiológicas. Como exemplo de variáveis fisiológicas, </w:t>
      </w:r>
      <w:r w:rsidR="00233ABB" w:rsidRPr="0021622B">
        <w:rPr>
          <w:rFonts w:asciiTheme="majorHAnsi" w:hAnsiTheme="majorHAnsi"/>
        </w:rPr>
        <w:t>podemos</w:t>
      </w:r>
      <w:r w:rsidRPr="0021622B">
        <w:rPr>
          <w:rFonts w:asciiTheme="majorHAnsi" w:hAnsiTheme="majorHAnsi"/>
        </w:rPr>
        <w:t xml:space="preserve"> citar glicose ou eletrólitos presentes no sangue, parâmetros hemodinâmicos </w:t>
      </w:r>
      <w:r w:rsidR="00233ABB" w:rsidRPr="0021622B">
        <w:rPr>
          <w:rFonts w:asciiTheme="majorHAnsi" w:hAnsiTheme="majorHAnsi"/>
        </w:rPr>
        <w:t xml:space="preserve">como </w:t>
      </w:r>
      <w:r w:rsidRPr="0021622B">
        <w:rPr>
          <w:rFonts w:asciiTheme="majorHAnsi" w:hAnsiTheme="majorHAnsi"/>
        </w:rPr>
        <w:t>pressão arterial</w:t>
      </w:r>
      <w:r w:rsidR="007859DA" w:rsidRPr="0021622B">
        <w:rPr>
          <w:rFonts w:asciiTheme="majorHAnsi" w:hAnsiTheme="majorHAnsi"/>
        </w:rPr>
        <w:t xml:space="preserve"> </w:t>
      </w:r>
      <w:r w:rsidR="00233ABB" w:rsidRPr="0021622B">
        <w:rPr>
          <w:rFonts w:asciiTheme="majorHAnsi" w:hAnsiTheme="majorHAnsi"/>
        </w:rPr>
        <w:t xml:space="preserve">e </w:t>
      </w:r>
      <w:r w:rsidRPr="0021622B">
        <w:rPr>
          <w:rFonts w:asciiTheme="majorHAnsi" w:hAnsiTheme="majorHAnsi"/>
        </w:rPr>
        <w:t>frequência cardíaca, temperatura corporal, nível de oxigenação</w:t>
      </w:r>
      <w:r w:rsidR="007859DA" w:rsidRPr="0021622B">
        <w:rPr>
          <w:rFonts w:asciiTheme="majorHAnsi" w:hAnsiTheme="majorHAnsi"/>
        </w:rPr>
        <w:t xml:space="preserve"> </w:t>
      </w:r>
      <w:r w:rsidR="00233ABB" w:rsidRPr="0021622B">
        <w:rPr>
          <w:rFonts w:asciiTheme="majorHAnsi" w:hAnsiTheme="majorHAnsi"/>
        </w:rPr>
        <w:t xml:space="preserve">e </w:t>
      </w:r>
      <w:r w:rsidRPr="0021622B">
        <w:rPr>
          <w:rFonts w:asciiTheme="majorHAnsi" w:hAnsiTheme="majorHAnsi"/>
        </w:rPr>
        <w:t xml:space="preserve">quantidade de fármacos no organismo. Um equipamento eletromédico que seja desenvolvido de acordo com esta norma colateral deverá ser capaz de medir uma ou algumas variáveis fisiológicas e controlar sua própria atuação em função dos valores medidos. </w:t>
      </w:r>
      <w:r w:rsidR="007859DA" w:rsidRPr="0021622B">
        <w:rPr>
          <w:rFonts w:asciiTheme="majorHAnsi" w:hAnsiTheme="majorHAnsi"/>
        </w:rPr>
        <w:t xml:space="preserve">Podem ser utilizadas as abordagens tradicionais de sistemas de controle de malha fechada, tais como lógica </w:t>
      </w:r>
      <w:proofErr w:type="spellStart"/>
      <w:r w:rsidR="007859DA" w:rsidRPr="0021622B">
        <w:rPr>
          <w:rFonts w:asciiTheme="majorHAnsi" w:hAnsiTheme="majorHAnsi"/>
          <w:i/>
        </w:rPr>
        <w:t>fuzzy</w:t>
      </w:r>
      <w:proofErr w:type="spellEnd"/>
      <w:r w:rsidR="007859DA" w:rsidRPr="0021622B">
        <w:rPr>
          <w:rFonts w:asciiTheme="majorHAnsi" w:hAnsiTheme="majorHAnsi"/>
        </w:rPr>
        <w:t>, redes neuronais, sistemas adaptativos, sistemas lineares ou não lineares.</w:t>
      </w:r>
    </w:p>
    <w:p w14:paraId="78EC6234" w14:textId="2BB17CD8" w:rsidR="000A18C9" w:rsidRPr="0021622B" w:rsidRDefault="000A18C9" w:rsidP="00B125DD">
      <w:pPr>
        <w:pStyle w:val="TEXTO-SIMPLES"/>
        <w:spacing w:after="160"/>
        <w:ind w:firstLine="0"/>
        <w:rPr>
          <w:rFonts w:asciiTheme="majorHAnsi" w:hAnsiTheme="majorHAnsi"/>
        </w:rPr>
      </w:pPr>
      <w:r w:rsidRPr="0021622B">
        <w:rPr>
          <w:rFonts w:asciiTheme="majorHAnsi" w:hAnsiTheme="majorHAnsi"/>
        </w:rPr>
        <w:t xml:space="preserve">Dentre as características avaliadas, esta norma faz referência à forma como as variáveis são medidas, armazenadas e processadas. Como </w:t>
      </w:r>
      <w:r w:rsidR="00284036" w:rsidRPr="0021622B">
        <w:rPr>
          <w:rFonts w:asciiTheme="majorHAnsi" w:hAnsiTheme="majorHAnsi"/>
        </w:rPr>
        <w:t>em qualquer norma colateral</w:t>
      </w:r>
      <w:r w:rsidRPr="0021622B">
        <w:rPr>
          <w:rFonts w:asciiTheme="majorHAnsi" w:hAnsiTheme="majorHAnsi"/>
        </w:rPr>
        <w:t xml:space="preserve">, havendo norma particular para um determinado equipamento, esta </w:t>
      </w:r>
      <w:r w:rsidR="00284036" w:rsidRPr="0021622B">
        <w:rPr>
          <w:rFonts w:asciiTheme="majorHAnsi" w:hAnsiTheme="majorHAnsi"/>
        </w:rPr>
        <w:t xml:space="preserve">última </w:t>
      </w:r>
      <w:r w:rsidRPr="0021622B">
        <w:rPr>
          <w:rFonts w:asciiTheme="majorHAnsi" w:hAnsiTheme="majorHAnsi"/>
        </w:rPr>
        <w:t>tem prevalência. Entretanto, em se tratando de um equipamento que realize o monitoramento fisiológico dos pacientes a fim de dosar o tratamento, a norma colateral IEC 60601-1-10 deve ser empregada no modelo de gerenciamento de risco que o fabricante irá desenvolver.</w:t>
      </w:r>
    </w:p>
    <w:p w14:paraId="03A4261E" w14:textId="074A30C2" w:rsidR="00871E77" w:rsidRPr="00A47DF3" w:rsidRDefault="00871E77" w:rsidP="00F00ED4">
      <w:pPr>
        <w:pStyle w:val="Ttulo1"/>
        <w:numPr>
          <w:ilvl w:val="0"/>
          <w:numId w:val="6"/>
        </w:numPr>
        <w:spacing w:after="240" w:line="276" w:lineRule="auto"/>
        <w:ind w:left="426" w:hanging="426"/>
        <w:rPr>
          <w:rFonts w:ascii="Calibri Light" w:hAnsi="Calibri Light"/>
          <w:b/>
          <w:color w:val="0066B2"/>
          <w:lang w:val="en-US"/>
        </w:rPr>
      </w:pPr>
      <w:bookmarkStart w:id="295" w:name="_Toc475089834"/>
      <w:bookmarkStart w:id="296" w:name="_Toc475089959"/>
      <w:bookmarkStart w:id="297" w:name="_Toc475090201"/>
      <w:bookmarkStart w:id="298" w:name="_Toc478923614"/>
      <w:bookmarkStart w:id="299" w:name="_Toc478923974"/>
      <w:bookmarkStart w:id="300" w:name="_Toc478924085"/>
      <w:bookmarkStart w:id="301" w:name="_Toc478924207"/>
      <w:bookmarkStart w:id="302" w:name="_Toc478925012"/>
      <w:bookmarkStart w:id="303" w:name="_Toc478926218"/>
      <w:bookmarkStart w:id="304" w:name="_Toc478926344"/>
      <w:bookmarkStart w:id="305" w:name="_Toc479013883"/>
      <w:bookmarkStart w:id="306" w:name="_Toc482620254"/>
      <w:r w:rsidRPr="00A47DF3">
        <w:rPr>
          <w:rFonts w:ascii="Calibri Light" w:hAnsi="Calibri Light"/>
          <w:b/>
          <w:color w:val="0066B2"/>
          <w:lang w:val="en-US"/>
        </w:rPr>
        <w:lastRenderedPageBreak/>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60601-1-11 – </w:t>
      </w:r>
      <w:r w:rsidRPr="00A47DF3">
        <w:rPr>
          <w:rFonts w:ascii="Calibri Light" w:hAnsi="Calibri Light"/>
          <w:b/>
          <w:i/>
          <w:color w:val="0066B2"/>
          <w:lang w:val="en-US"/>
        </w:rPr>
        <w:t>Requirements for medical electrical equipment and medical electrical systems used in the home healthcare environment</w:t>
      </w:r>
      <w:bookmarkEnd w:id="295"/>
      <w:bookmarkEnd w:id="296"/>
      <w:bookmarkEnd w:id="297"/>
      <w:bookmarkEnd w:id="298"/>
      <w:bookmarkEnd w:id="299"/>
      <w:bookmarkEnd w:id="300"/>
      <w:bookmarkEnd w:id="301"/>
      <w:bookmarkEnd w:id="302"/>
      <w:bookmarkEnd w:id="303"/>
      <w:bookmarkEnd w:id="304"/>
      <w:bookmarkEnd w:id="305"/>
      <w:bookmarkEnd w:id="306"/>
    </w:p>
    <w:p w14:paraId="4B56FFC6" w14:textId="02D3B46F" w:rsidR="00871E77" w:rsidRPr="0021622B" w:rsidRDefault="005C7E8A" w:rsidP="00B125DD">
      <w:pPr>
        <w:pStyle w:val="TEXTO-SIMPLES"/>
        <w:spacing w:after="160"/>
        <w:ind w:firstLine="0"/>
        <w:rPr>
          <w:rFonts w:asciiTheme="majorHAnsi" w:hAnsiTheme="majorHAnsi"/>
        </w:rPr>
      </w:pPr>
      <w:r w:rsidRPr="0021622B">
        <w:rPr>
          <w:rFonts w:asciiTheme="majorHAnsi" w:hAnsiTheme="majorHAnsi"/>
        </w:rPr>
        <w:t>Esta norma colateral está em sua segunda edição, tendo sido a primeira publicada em 2010. O STC 62A é o responsável pela elaboração e revisão desta norma.</w:t>
      </w:r>
    </w:p>
    <w:p w14:paraId="0EBDC74A" w14:textId="63CC031E" w:rsidR="005C7E8A" w:rsidRPr="0021622B" w:rsidRDefault="005C7E8A" w:rsidP="00B125DD">
      <w:pPr>
        <w:pStyle w:val="TEXTO-SIMPLES"/>
        <w:spacing w:after="160"/>
        <w:ind w:firstLine="0"/>
        <w:rPr>
          <w:rFonts w:asciiTheme="majorHAnsi" w:hAnsiTheme="majorHAnsi"/>
        </w:rPr>
      </w:pPr>
      <w:r w:rsidRPr="0021622B">
        <w:rPr>
          <w:rFonts w:asciiTheme="majorHAnsi" w:hAnsiTheme="majorHAnsi"/>
        </w:rPr>
        <w:t xml:space="preserve">Dentre os ambientes em que um equipamento eletromédico pode ser instalado (veja </w:t>
      </w:r>
      <w:r w:rsidR="00284036" w:rsidRPr="0021622B">
        <w:rPr>
          <w:rFonts w:asciiTheme="majorHAnsi" w:hAnsiTheme="majorHAnsi"/>
        </w:rPr>
        <w:fldChar w:fldCharType="begin"/>
      </w:r>
      <w:r w:rsidR="00284036" w:rsidRPr="0021622B">
        <w:rPr>
          <w:rFonts w:asciiTheme="majorHAnsi" w:hAnsiTheme="majorHAnsi"/>
        </w:rPr>
        <w:instrText xml:space="preserve"> REF _Ref475358345 \r \h </w:instrText>
      </w:r>
      <w:r w:rsidR="0021622B" w:rsidRPr="0021622B">
        <w:rPr>
          <w:rFonts w:asciiTheme="majorHAnsi" w:hAnsiTheme="majorHAnsi"/>
        </w:rPr>
        <w:instrText xml:space="preserve"> \* MERGEFORMAT </w:instrText>
      </w:r>
      <w:r w:rsidR="00284036" w:rsidRPr="0021622B">
        <w:rPr>
          <w:rFonts w:asciiTheme="majorHAnsi" w:hAnsiTheme="majorHAnsi"/>
        </w:rPr>
      </w:r>
      <w:r w:rsidR="00284036" w:rsidRPr="0021622B">
        <w:rPr>
          <w:rFonts w:asciiTheme="majorHAnsi" w:hAnsiTheme="majorHAnsi"/>
        </w:rPr>
        <w:fldChar w:fldCharType="separate"/>
      </w:r>
      <w:r w:rsidR="00DA3A7D">
        <w:rPr>
          <w:rFonts w:asciiTheme="majorHAnsi" w:hAnsiTheme="majorHAnsi"/>
        </w:rPr>
        <w:t>Figura 1</w:t>
      </w:r>
      <w:r w:rsidR="00284036" w:rsidRPr="0021622B">
        <w:rPr>
          <w:rFonts w:asciiTheme="majorHAnsi" w:hAnsiTheme="majorHAnsi"/>
        </w:rPr>
        <w:fldChar w:fldCharType="end"/>
      </w:r>
      <w:r w:rsidRPr="0021622B">
        <w:rPr>
          <w:rFonts w:asciiTheme="majorHAnsi" w:hAnsiTheme="majorHAnsi"/>
        </w:rPr>
        <w:t>), o que mais tem se expandido em quantidade de instalações é o domiciliar. Pelas características construtivas, não é razoável imaginar que o ambiente profissional típico</w:t>
      </w:r>
      <w:r w:rsidR="0083044A" w:rsidRPr="0021622B">
        <w:rPr>
          <w:rFonts w:asciiTheme="majorHAnsi" w:hAnsiTheme="majorHAnsi"/>
        </w:rPr>
        <w:t xml:space="preserve"> </w:t>
      </w:r>
      <w:r w:rsidR="00284036" w:rsidRPr="0021622B">
        <w:rPr>
          <w:rFonts w:asciiTheme="majorHAnsi" w:hAnsiTheme="majorHAnsi"/>
        </w:rPr>
        <w:t>(</w:t>
      </w:r>
      <w:r w:rsidRPr="0021622B">
        <w:rPr>
          <w:rFonts w:asciiTheme="majorHAnsi" w:hAnsiTheme="majorHAnsi"/>
        </w:rPr>
        <w:t>isto é, hospitais, clínicas</w:t>
      </w:r>
      <w:r w:rsidR="00284036" w:rsidRPr="0021622B">
        <w:rPr>
          <w:rFonts w:asciiTheme="majorHAnsi" w:hAnsiTheme="majorHAnsi"/>
        </w:rPr>
        <w:t xml:space="preserve"> e </w:t>
      </w:r>
      <w:r w:rsidRPr="0021622B">
        <w:rPr>
          <w:rFonts w:asciiTheme="majorHAnsi" w:hAnsiTheme="majorHAnsi"/>
        </w:rPr>
        <w:t>ambulatórios</w:t>
      </w:r>
      <w:r w:rsidR="00284036" w:rsidRPr="0021622B">
        <w:rPr>
          <w:rFonts w:asciiTheme="majorHAnsi" w:hAnsiTheme="majorHAnsi"/>
        </w:rPr>
        <w:t>)</w:t>
      </w:r>
      <w:r w:rsidRPr="0021622B">
        <w:rPr>
          <w:rFonts w:asciiTheme="majorHAnsi" w:hAnsiTheme="majorHAnsi"/>
        </w:rPr>
        <w:t xml:space="preserve"> seja</w:t>
      </w:r>
      <w:r w:rsidR="00FA1316" w:rsidRPr="0021622B">
        <w:rPr>
          <w:rFonts w:asciiTheme="majorHAnsi" w:hAnsiTheme="majorHAnsi"/>
        </w:rPr>
        <w:t xml:space="preserve"> comparável ao ambiente doméstico típico. </w:t>
      </w:r>
      <w:r w:rsidR="00284036" w:rsidRPr="0021622B">
        <w:rPr>
          <w:rFonts w:asciiTheme="majorHAnsi" w:hAnsiTheme="majorHAnsi"/>
        </w:rPr>
        <w:t>Portanto</w:t>
      </w:r>
      <w:r w:rsidR="00FA1316" w:rsidRPr="0021622B">
        <w:rPr>
          <w:rFonts w:asciiTheme="majorHAnsi" w:hAnsiTheme="majorHAnsi"/>
        </w:rPr>
        <w:t>, os equipamentos desenvolvidos para uso domiciliar devem ser capazes de</w:t>
      </w:r>
      <w:r w:rsidR="009B3DD6" w:rsidRPr="0021622B">
        <w:rPr>
          <w:rFonts w:asciiTheme="majorHAnsi" w:hAnsiTheme="majorHAnsi"/>
        </w:rPr>
        <w:t xml:space="preserve"> suportar condições climáticas, flutuação de rede elétrica</w:t>
      </w:r>
      <w:r w:rsidR="00284036" w:rsidRPr="0021622B">
        <w:rPr>
          <w:rFonts w:asciiTheme="majorHAnsi" w:hAnsiTheme="majorHAnsi"/>
        </w:rPr>
        <w:t xml:space="preserve"> e </w:t>
      </w:r>
      <w:r w:rsidR="009B3DD6" w:rsidRPr="0021622B">
        <w:rPr>
          <w:rFonts w:asciiTheme="majorHAnsi" w:hAnsiTheme="majorHAnsi"/>
        </w:rPr>
        <w:t>perturbações eletromagnéticas, entre outras variáveis</w:t>
      </w:r>
      <w:r w:rsidR="0083044A" w:rsidRPr="0021622B">
        <w:rPr>
          <w:rFonts w:asciiTheme="majorHAnsi" w:hAnsiTheme="majorHAnsi"/>
        </w:rPr>
        <w:t xml:space="preserve">, menos controladas </w:t>
      </w:r>
      <w:r w:rsidR="00016AA8" w:rsidRPr="0021622B">
        <w:rPr>
          <w:rFonts w:asciiTheme="majorHAnsi" w:hAnsiTheme="majorHAnsi"/>
        </w:rPr>
        <w:t>do que aquelas</w:t>
      </w:r>
      <w:r w:rsidR="0083044A" w:rsidRPr="0021622B">
        <w:rPr>
          <w:rFonts w:asciiTheme="majorHAnsi" w:hAnsiTheme="majorHAnsi"/>
        </w:rPr>
        <w:t xml:space="preserve"> encontradas em ambiente profissional.</w:t>
      </w:r>
    </w:p>
    <w:p w14:paraId="726B707B" w14:textId="22E47C21" w:rsidR="009B3DD6" w:rsidRPr="0021622B" w:rsidRDefault="009B3DD6" w:rsidP="00B125DD">
      <w:pPr>
        <w:pStyle w:val="TEXTO-SIMPLES"/>
        <w:spacing w:after="160"/>
        <w:ind w:firstLine="0"/>
        <w:rPr>
          <w:rFonts w:asciiTheme="majorHAnsi" w:hAnsiTheme="majorHAnsi"/>
        </w:rPr>
      </w:pPr>
      <w:r w:rsidRPr="0021622B">
        <w:rPr>
          <w:rFonts w:asciiTheme="majorHAnsi" w:hAnsiTheme="majorHAnsi"/>
        </w:rPr>
        <w:t xml:space="preserve">A usabilidade é outro ponto importante a ser considerado no gerenciamento de risco de equipamentos eletromédicos </w:t>
      </w:r>
      <w:r w:rsidR="00284036" w:rsidRPr="0021622B">
        <w:rPr>
          <w:rFonts w:asciiTheme="majorHAnsi" w:hAnsiTheme="majorHAnsi"/>
        </w:rPr>
        <w:t>em</w:t>
      </w:r>
      <w:r w:rsidRPr="0021622B">
        <w:rPr>
          <w:rFonts w:asciiTheme="majorHAnsi" w:hAnsiTheme="majorHAnsi"/>
        </w:rPr>
        <w:t xml:space="preserve"> ambiente domiciliar. A norma colateral IEC 60601-1-6 trata do assunto, mas </w:t>
      </w:r>
      <w:r w:rsidR="00284036" w:rsidRPr="0021622B">
        <w:rPr>
          <w:rFonts w:asciiTheme="majorHAnsi" w:hAnsiTheme="majorHAnsi"/>
        </w:rPr>
        <w:t>devemos considerar que</w:t>
      </w:r>
      <w:r w:rsidRPr="0021622B">
        <w:rPr>
          <w:rFonts w:asciiTheme="majorHAnsi" w:hAnsiTheme="majorHAnsi"/>
        </w:rPr>
        <w:t xml:space="preserve"> em ambiente domiciliar nem sempre o operador será um profissional. Muitas vezes, o usuário sequer tem treinamento apropriado para operar o equipamento. Com isso, o risco de falhas aumenta muito</w:t>
      </w:r>
      <w:r w:rsidR="00284036" w:rsidRPr="0021622B">
        <w:rPr>
          <w:rFonts w:asciiTheme="majorHAnsi" w:hAnsiTheme="majorHAnsi"/>
        </w:rPr>
        <w:t>.</w:t>
      </w:r>
      <w:r w:rsidRPr="0021622B">
        <w:rPr>
          <w:rFonts w:asciiTheme="majorHAnsi" w:hAnsiTheme="majorHAnsi"/>
        </w:rPr>
        <w:t xml:space="preserve"> O gerenciamento de risco deve ser elaborado com esta preocupação em mente e toda </w:t>
      </w:r>
      <w:r w:rsidR="00284036" w:rsidRPr="0021622B">
        <w:rPr>
          <w:rFonts w:asciiTheme="majorHAnsi" w:hAnsiTheme="majorHAnsi"/>
        </w:rPr>
        <w:t xml:space="preserve">a </w:t>
      </w:r>
      <w:r w:rsidRPr="0021622B">
        <w:rPr>
          <w:rFonts w:asciiTheme="majorHAnsi" w:hAnsiTheme="majorHAnsi"/>
        </w:rPr>
        <w:t xml:space="preserve">documentação deve retratar os cuidados que o fabricante teve com </w:t>
      </w:r>
      <w:r w:rsidR="00284036" w:rsidRPr="0021622B">
        <w:rPr>
          <w:rFonts w:asciiTheme="majorHAnsi" w:hAnsiTheme="majorHAnsi"/>
        </w:rPr>
        <w:t>essa questão</w:t>
      </w:r>
      <w:r w:rsidRPr="0021622B">
        <w:rPr>
          <w:rFonts w:asciiTheme="majorHAnsi" w:hAnsiTheme="majorHAnsi"/>
        </w:rPr>
        <w:t>.</w:t>
      </w:r>
    </w:p>
    <w:p w14:paraId="5ACC3E74" w14:textId="697B5F1B" w:rsidR="00BB76EA" w:rsidRPr="0021622B" w:rsidRDefault="00284036" w:rsidP="00B125DD">
      <w:pPr>
        <w:pStyle w:val="TEXTO-SIMPLES"/>
        <w:spacing w:after="160"/>
        <w:ind w:firstLine="0"/>
        <w:rPr>
          <w:rFonts w:asciiTheme="majorHAnsi" w:hAnsiTheme="majorHAnsi"/>
        </w:rPr>
      </w:pPr>
      <w:r w:rsidRPr="0021622B">
        <w:rPr>
          <w:rFonts w:asciiTheme="majorHAnsi" w:hAnsiTheme="majorHAnsi"/>
        </w:rPr>
        <w:t>É i</w:t>
      </w:r>
      <w:r w:rsidR="00BB76EA" w:rsidRPr="0021622B">
        <w:rPr>
          <w:rFonts w:asciiTheme="majorHAnsi" w:hAnsiTheme="majorHAnsi"/>
        </w:rPr>
        <w:t>mportante mencionar que os equipamentos que tiverem seu uso pretendido para vários ambientes</w:t>
      </w:r>
      <w:r w:rsidR="0083044A" w:rsidRPr="0021622B">
        <w:rPr>
          <w:rFonts w:asciiTheme="majorHAnsi" w:hAnsiTheme="majorHAnsi"/>
        </w:rPr>
        <w:t>,</w:t>
      </w:r>
      <w:r w:rsidR="00BB76EA" w:rsidRPr="0021622B">
        <w:rPr>
          <w:rFonts w:asciiTheme="majorHAnsi" w:hAnsiTheme="majorHAnsi"/>
        </w:rPr>
        <w:t xml:space="preserve"> incluindo o uso domiciliar</w:t>
      </w:r>
      <w:r w:rsidR="0083044A" w:rsidRPr="0021622B">
        <w:rPr>
          <w:rFonts w:asciiTheme="majorHAnsi" w:hAnsiTheme="majorHAnsi"/>
        </w:rPr>
        <w:t xml:space="preserve">, </w:t>
      </w:r>
      <w:r w:rsidR="00BB76EA" w:rsidRPr="0021622B">
        <w:rPr>
          <w:rFonts w:asciiTheme="majorHAnsi" w:hAnsiTheme="majorHAnsi"/>
        </w:rPr>
        <w:t>também deverão ser avaliados segundo os requisitos desta norma colateral.</w:t>
      </w:r>
    </w:p>
    <w:p w14:paraId="7447C4DD" w14:textId="64111DFB" w:rsidR="006862E4" w:rsidRPr="00A47DF3" w:rsidRDefault="003E6B1F" w:rsidP="00F00ED4">
      <w:pPr>
        <w:pStyle w:val="Ttulo1"/>
        <w:numPr>
          <w:ilvl w:val="0"/>
          <w:numId w:val="6"/>
        </w:numPr>
        <w:spacing w:after="240" w:line="276" w:lineRule="auto"/>
        <w:ind w:left="426" w:hanging="426"/>
        <w:rPr>
          <w:rFonts w:ascii="Calibri Light" w:hAnsi="Calibri Light"/>
          <w:b/>
          <w:color w:val="0066B2"/>
          <w:lang w:val="en-US"/>
        </w:rPr>
      </w:pPr>
      <w:bookmarkStart w:id="307" w:name="_Toc475089835"/>
      <w:bookmarkStart w:id="308" w:name="_Toc475089960"/>
      <w:bookmarkStart w:id="309" w:name="_Toc475090202"/>
      <w:bookmarkStart w:id="310" w:name="_Toc478923615"/>
      <w:bookmarkStart w:id="311" w:name="_Toc478923975"/>
      <w:bookmarkStart w:id="312" w:name="_Toc478924086"/>
      <w:bookmarkStart w:id="313" w:name="_Toc478924208"/>
      <w:bookmarkStart w:id="314" w:name="_Toc478925013"/>
      <w:bookmarkStart w:id="315" w:name="_Toc478926219"/>
      <w:bookmarkStart w:id="316" w:name="_Toc478926345"/>
      <w:bookmarkStart w:id="317" w:name="_Toc479013884"/>
      <w:bookmarkStart w:id="318" w:name="_Toc482620255"/>
      <w:r w:rsidRPr="00A47DF3">
        <w:rPr>
          <w:rFonts w:ascii="Calibri Light" w:hAnsi="Calibri Light"/>
          <w:b/>
          <w:color w:val="0066B2"/>
          <w:lang w:val="en-US"/>
        </w:rPr>
        <w:t xml:space="preserve">Norma </w:t>
      </w:r>
      <w:proofErr w:type="spellStart"/>
      <w:r w:rsidRPr="00A47DF3">
        <w:rPr>
          <w:rFonts w:ascii="Calibri Light" w:hAnsi="Calibri Light"/>
          <w:b/>
          <w:color w:val="0066B2"/>
          <w:lang w:val="en-US"/>
        </w:rPr>
        <w:t>colateral</w:t>
      </w:r>
      <w:proofErr w:type="spellEnd"/>
      <w:r w:rsidRPr="00A47DF3">
        <w:rPr>
          <w:rFonts w:ascii="Calibri Light" w:hAnsi="Calibri Light"/>
          <w:b/>
          <w:color w:val="0066B2"/>
          <w:lang w:val="en-US"/>
        </w:rPr>
        <w:t xml:space="preserve"> 60601-1-1</w:t>
      </w:r>
      <w:r w:rsidR="00871E77" w:rsidRPr="00A47DF3">
        <w:rPr>
          <w:rFonts w:ascii="Calibri Light" w:hAnsi="Calibri Light"/>
          <w:b/>
          <w:color w:val="0066B2"/>
          <w:lang w:val="en-US"/>
        </w:rPr>
        <w:t>2</w:t>
      </w:r>
      <w:r w:rsidRPr="00A47DF3">
        <w:rPr>
          <w:rFonts w:ascii="Calibri Light" w:hAnsi="Calibri Light"/>
          <w:b/>
          <w:color w:val="0066B2"/>
          <w:lang w:val="en-US"/>
        </w:rPr>
        <w:t xml:space="preserve"> – </w:t>
      </w:r>
      <w:r w:rsidR="00871E77" w:rsidRPr="00A47DF3">
        <w:rPr>
          <w:rFonts w:ascii="Calibri Light" w:hAnsi="Calibri Light"/>
          <w:b/>
          <w:i/>
          <w:color w:val="0066B2"/>
          <w:lang w:val="en-US"/>
        </w:rPr>
        <w:t xml:space="preserve">General requirements for basic safety and essential performance </w:t>
      </w:r>
      <w:r w:rsidR="009172D3" w:rsidRPr="00A47DF3">
        <w:rPr>
          <w:rFonts w:ascii="Calibri Light" w:hAnsi="Calibri Light"/>
          <w:b/>
          <w:i/>
          <w:color w:val="0066B2"/>
          <w:lang w:val="en-US"/>
        </w:rPr>
        <w:t>–</w:t>
      </w:r>
      <w:r w:rsidR="00871E77" w:rsidRPr="00A47DF3">
        <w:rPr>
          <w:rFonts w:ascii="Calibri Light" w:hAnsi="Calibri Light"/>
          <w:b/>
          <w:i/>
          <w:color w:val="0066B2"/>
          <w:lang w:val="en-US"/>
        </w:rPr>
        <w:t xml:space="preserve"> Collateral Standard: Requirements for medical electrical equipment and medical electrical systems intended for use in the emergency medical services environment</w:t>
      </w:r>
      <w:bookmarkEnd w:id="307"/>
      <w:bookmarkEnd w:id="308"/>
      <w:bookmarkEnd w:id="309"/>
      <w:bookmarkEnd w:id="310"/>
      <w:bookmarkEnd w:id="311"/>
      <w:bookmarkEnd w:id="312"/>
      <w:bookmarkEnd w:id="313"/>
      <w:bookmarkEnd w:id="314"/>
      <w:bookmarkEnd w:id="315"/>
      <w:bookmarkEnd w:id="316"/>
      <w:bookmarkEnd w:id="317"/>
      <w:bookmarkEnd w:id="318"/>
    </w:p>
    <w:p w14:paraId="64C166C5" w14:textId="17083F7D" w:rsidR="00BF26EA" w:rsidRPr="0021622B" w:rsidRDefault="0081129B" w:rsidP="00B125DD">
      <w:pPr>
        <w:pStyle w:val="TEXTO-SIMPLES"/>
        <w:spacing w:after="160"/>
        <w:ind w:firstLine="0"/>
        <w:rPr>
          <w:rFonts w:asciiTheme="majorHAnsi" w:hAnsiTheme="majorHAnsi"/>
        </w:rPr>
      </w:pPr>
      <w:r w:rsidRPr="0021622B">
        <w:rPr>
          <w:rFonts w:asciiTheme="majorHAnsi" w:hAnsiTheme="majorHAnsi"/>
        </w:rPr>
        <w:t>Esta norma é a caçula dentre as normas colaterais. Ela foi publicada pelo subcomitê técnico STC 62A pela primeira vez em 2014 e está ainda em sua primeira edição.</w:t>
      </w:r>
    </w:p>
    <w:p w14:paraId="1C7C9368" w14:textId="12E575FA" w:rsidR="00BB76EA" w:rsidRPr="0021622B" w:rsidRDefault="00BB76EA" w:rsidP="00B125DD">
      <w:pPr>
        <w:pStyle w:val="TEXTO-SIMPLES"/>
        <w:spacing w:after="160"/>
        <w:ind w:firstLine="0"/>
        <w:rPr>
          <w:rFonts w:asciiTheme="majorHAnsi" w:hAnsiTheme="majorHAnsi"/>
        </w:rPr>
      </w:pPr>
      <w:r w:rsidRPr="0021622B">
        <w:rPr>
          <w:rFonts w:asciiTheme="majorHAnsi" w:hAnsiTheme="majorHAnsi"/>
        </w:rPr>
        <w:t>Esta é outra norma que se ocupa da complementação de requisitos para avaliar equipamentos eletromédicos em função do local de uso pretendido. Além do ambiente domiciliar, tratado na norma colateral IEC 60601-1-11, o ambiente de atendimento de emergência também é considerado potencialmente distinto do ambiente profissional típico. Aqueles equipamentos que foram projetados para este uso, ou que eventualmente poderão vir a ser utilizados em salas de emergência, deverão atentar para os preceitos desta norma colateral.</w:t>
      </w:r>
    </w:p>
    <w:p w14:paraId="07EBA588" w14:textId="0550DB83" w:rsidR="00BB76EA" w:rsidRPr="0021622B" w:rsidRDefault="00BB76EA" w:rsidP="00B125DD">
      <w:pPr>
        <w:pStyle w:val="TEXTO-SIMPLES"/>
        <w:spacing w:after="160"/>
        <w:ind w:firstLine="0"/>
        <w:rPr>
          <w:rFonts w:asciiTheme="majorHAnsi" w:hAnsiTheme="majorHAnsi"/>
        </w:rPr>
      </w:pPr>
      <w:r w:rsidRPr="0021622B">
        <w:rPr>
          <w:rFonts w:asciiTheme="majorHAnsi" w:hAnsiTheme="majorHAnsi"/>
        </w:rPr>
        <w:lastRenderedPageBreak/>
        <w:t xml:space="preserve">São incluídos os equipamentos de tratamento ostensivo, </w:t>
      </w:r>
      <w:r w:rsidR="00284036" w:rsidRPr="0021622B">
        <w:rPr>
          <w:rFonts w:asciiTheme="majorHAnsi" w:hAnsiTheme="majorHAnsi"/>
        </w:rPr>
        <w:t xml:space="preserve">de </w:t>
      </w:r>
      <w:r w:rsidRPr="0021622B">
        <w:rPr>
          <w:rFonts w:asciiTheme="majorHAnsi" w:hAnsiTheme="majorHAnsi"/>
        </w:rPr>
        <w:t xml:space="preserve">suporte à vida, </w:t>
      </w:r>
      <w:r w:rsidR="00284036" w:rsidRPr="0021622B">
        <w:rPr>
          <w:rFonts w:asciiTheme="majorHAnsi" w:hAnsiTheme="majorHAnsi"/>
        </w:rPr>
        <w:t xml:space="preserve">de </w:t>
      </w:r>
      <w:r w:rsidRPr="0021622B">
        <w:rPr>
          <w:rFonts w:asciiTheme="majorHAnsi" w:hAnsiTheme="majorHAnsi"/>
        </w:rPr>
        <w:t xml:space="preserve">monitoramento e </w:t>
      </w:r>
      <w:r w:rsidR="00284036" w:rsidRPr="0021622B">
        <w:rPr>
          <w:rFonts w:asciiTheme="majorHAnsi" w:hAnsiTheme="majorHAnsi"/>
        </w:rPr>
        <w:t xml:space="preserve">de </w:t>
      </w:r>
      <w:r w:rsidRPr="0021622B">
        <w:rPr>
          <w:rFonts w:asciiTheme="majorHAnsi" w:hAnsiTheme="majorHAnsi"/>
        </w:rPr>
        <w:t>diagnóstico. Os equipamentos utilizados em ambulância, desde que dotadas de funcionalidade de atendimento emergencial, também fazem parte do rol de equipamentos a serem avaliados segundo esta norma. A norma explicitamente exclui do escopo aqueles equipamentos cujo uso pretendido se limite a, exclusivamente, ambiente domiciliar ou ambiente profissional clássico. Adicionalmente, os equipamentos cobertos por esta norma poderão ser utilizados em locais com rede elétrica de pouca confiabilidade ou em ambientes externos. O conjunto de ensaios é, portanto, mais rigoroso para os equipamentos pertencentes ao escopo desta norma.</w:t>
      </w:r>
    </w:p>
    <w:p w14:paraId="0CC0C15B" w14:textId="0AE12FC3" w:rsidR="00C37F98" w:rsidRPr="00A47DF3" w:rsidRDefault="00C37F98" w:rsidP="00F74EBE">
      <w:pPr>
        <w:pStyle w:val="Ttulo1"/>
        <w:spacing w:after="240" w:line="276" w:lineRule="auto"/>
        <w:rPr>
          <w:rFonts w:ascii="Calibri Light" w:hAnsi="Calibri Light"/>
          <w:b/>
          <w:color w:val="0066B2"/>
        </w:rPr>
      </w:pPr>
      <w:bookmarkStart w:id="319" w:name="_Toc478923616"/>
      <w:bookmarkStart w:id="320" w:name="_Toc478924087"/>
      <w:bookmarkStart w:id="321" w:name="_Toc478924209"/>
      <w:bookmarkStart w:id="322" w:name="_Toc478925014"/>
      <w:bookmarkStart w:id="323" w:name="_Toc478926220"/>
      <w:bookmarkStart w:id="324" w:name="_Toc478926346"/>
      <w:bookmarkStart w:id="325" w:name="_Toc479013885"/>
      <w:bookmarkStart w:id="326" w:name="_Toc482620256"/>
      <w:r w:rsidRPr="00A47DF3">
        <w:rPr>
          <w:rFonts w:ascii="Calibri Light" w:hAnsi="Calibri Light"/>
          <w:b/>
          <w:color w:val="0066B2"/>
        </w:rPr>
        <w:t>Finalizando</w:t>
      </w:r>
      <w:bookmarkEnd w:id="319"/>
      <w:bookmarkEnd w:id="320"/>
      <w:bookmarkEnd w:id="321"/>
      <w:bookmarkEnd w:id="322"/>
      <w:bookmarkEnd w:id="323"/>
      <w:bookmarkEnd w:id="324"/>
      <w:bookmarkEnd w:id="325"/>
      <w:bookmarkEnd w:id="326"/>
    </w:p>
    <w:p w14:paraId="31515093" w14:textId="71EC5395" w:rsidR="00C37F98" w:rsidRPr="0021622B" w:rsidRDefault="009B3DD6" w:rsidP="00B125DD">
      <w:pPr>
        <w:pStyle w:val="TEXTO-SIMPLES"/>
        <w:spacing w:after="160"/>
        <w:ind w:firstLine="0"/>
        <w:rPr>
          <w:rFonts w:asciiTheme="majorHAnsi" w:hAnsiTheme="majorHAnsi"/>
        </w:rPr>
      </w:pPr>
      <w:r w:rsidRPr="0021622B">
        <w:rPr>
          <w:rFonts w:asciiTheme="majorHAnsi" w:hAnsiTheme="majorHAnsi"/>
        </w:rPr>
        <w:t xml:space="preserve">As 8 normas colaterais foram apresentadas </w:t>
      </w:r>
      <w:r w:rsidR="00284036" w:rsidRPr="0021622B">
        <w:rPr>
          <w:rFonts w:asciiTheme="majorHAnsi" w:hAnsiTheme="majorHAnsi"/>
        </w:rPr>
        <w:t>ne</w:t>
      </w:r>
      <w:r w:rsidR="00BE2E5E" w:rsidRPr="0021622B">
        <w:rPr>
          <w:rFonts w:asciiTheme="majorHAnsi" w:hAnsiTheme="majorHAnsi"/>
        </w:rPr>
        <w:t>ss</w:t>
      </w:r>
      <w:r w:rsidR="00284036" w:rsidRPr="0021622B">
        <w:rPr>
          <w:rFonts w:asciiTheme="majorHAnsi" w:hAnsiTheme="majorHAnsi"/>
        </w:rPr>
        <w:t>a aula</w:t>
      </w:r>
      <w:r w:rsidRPr="0021622B">
        <w:rPr>
          <w:rFonts w:asciiTheme="majorHAnsi" w:hAnsiTheme="majorHAnsi"/>
        </w:rPr>
        <w:t xml:space="preserve">. Observem que cada norma colateral traz um aspecto adicional aos requisitos da norma geral. Muitas destas normas tinham originalmente seu conteúdo presente em versões anteriores da norma geral. Os membros especialistas do subcomitê técnico IEC STC 62A, responsável pela elaboração da norma geral e da maioria das normas colaterais, acharam por bem desmembrar os requisitos em normas colaterais, o que facilita o gerenciamento das revisões e melhorias. </w:t>
      </w:r>
      <w:r w:rsidR="00284036" w:rsidRPr="0021622B">
        <w:rPr>
          <w:rFonts w:asciiTheme="majorHAnsi" w:hAnsiTheme="majorHAnsi"/>
        </w:rPr>
        <w:t>Na próxima aula serão</w:t>
      </w:r>
      <w:r w:rsidRPr="0021622B">
        <w:rPr>
          <w:rFonts w:asciiTheme="majorHAnsi" w:hAnsiTheme="majorHAnsi"/>
        </w:rPr>
        <w:t xml:space="preserve"> apresentados os ensaios mecânicos e elétricos, requisitos obrigatórios para todos </w:t>
      </w:r>
      <w:r w:rsidR="00284036" w:rsidRPr="0021622B">
        <w:rPr>
          <w:rFonts w:asciiTheme="majorHAnsi" w:hAnsiTheme="majorHAnsi"/>
        </w:rPr>
        <w:t xml:space="preserve">os </w:t>
      </w:r>
      <w:r w:rsidRPr="0021622B">
        <w:rPr>
          <w:rFonts w:asciiTheme="majorHAnsi" w:hAnsiTheme="majorHAnsi"/>
        </w:rPr>
        <w:t>equipamentos eletromédicos.</w:t>
      </w:r>
    </w:p>
    <w:p w14:paraId="52CB4E3E" w14:textId="77777777" w:rsidR="0096707C" w:rsidRPr="0021622B" w:rsidRDefault="0096707C">
      <w:pPr>
        <w:rPr>
          <w:rFonts w:asciiTheme="majorHAnsi" w:hAnsiTheme="majorHAnsi" w:cs="Arial"/>
          <w:b/>
        </w:rPr>
      </w:pPr>
      <w:r w:rsidRPr="0021622B">
        <w:rPr>
          <w:rFonts w:asciiTheme="majorHAnsi" w:hAnsiTheme="majorHAnsi" w:cs="Arial"/>
          <w:b/>
        </w:rPr>
        <w:br w:type="page"/>
      </w:r>
    </w:p>
    <w:p w14:paraId="7ED9DA59" w14:textId="36D617AB" w:rsidR="00974796" w:rsidRPr="00A47DF3" w:rsidRDefault="00783989" w:rsidP="00F74EBE">
      <w:pPr>
        <w:pStyle w:val="Ttulo1"/>
        <w:spacing w:after="240" w:line="276" w:lineRule="auto"/>
        <w:rPr>
          <w:rFonts w:ascii="Calibri Light" w:hAnsi="Calibri Light"/>
          <w:b/>
          <w:color w:val="0066B2"/>
        </w:rPr>
      </w:pPr>
      <w:bookmarkStart w:id="327" w:name="_GoBack"/>
      <w:r w:rsidRPr="00A47DF3">
        <w:rPr>
          <w:rFonts w:ascii="Calibri Light" w:hAnsi="Calibri Light"/>
          <w:b/>
          <w:color w:val="0066B2"/>
        </w:rPr>
        <w:lastRenderedPageBreak/>
        <w:t>Referências</w:t>
      </w:r>
    </w:p>
    <w:bookmarkEnd w:id="327"/>
    <w:p w14:paraId="4B92FB44" w14:textId="777C0ABB"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AGÊNCIA NACIONAL DE VIGILÂNCIA SANITÁRIA – ANVISA. </w:t>
      </w:r>
      <w:r w:rsidRPr="00B125DD">
        <w:rPr>
          <w:rFonts w:asciiTheme="majorHAnsi" w:hAnsiTheme="majorHAnsi"/>
        </w:rPr>
        <w:t>Relatórios de notificações de 2006 a 2013</w:t>
      </w:r>
      <w:r w:rsidR="00B125DD">
        <w:rPr>
          <w:rFonts w:asciiTheme="majorHAnsi" w:hAnsiTheme="majorHAnsi"/>
        </w:rPr>
        <w:t xml:space="preserve">. </w:t>
      </w:r>
      <w:r w:rsidRPr="0021622B">
        <w:rPr>
          <w:rFonts w:asciiTheme="majorHAnsi" w:hAnsiTheme="majorHAnsi"/>
        </w:rPr>
        <w:t xml:space="preserve">Disponível em &lt;http://www.anvisa.gov.br/hotsite/notivisa/relatorios/index.htm&gt;. Acesso em 01 </w:t>
      </w:r>
      <w:proofErr w:type="gramStart"/>
      <w:r w:rsidRPr="0021622B">
        <w:rPr>
          <w:rFonts w:asciiTheme="majorHAnsi" w:hAnsiTheme="majorHAnsi"/>
        </w:rPr>
        <w:t>Abr.</w:t>
      </w:r>
      <w:proofErr w:type="gramEnd"/>
      <w:r w:rsidRPr="0021622B">
        <w:rPr>
          <w:rFonts w:asciiTheme="majorHAnsi" w:hAnsiTheme="majorHAnsi"/>
        </w:rPr>
        <w:t xml:space="preserve"> 2017.</w:t>
      </w:r>
    </w:p>
    <w:p w14:paraId="60BE411C" w14:textId="33CA8750" w:rsidR="00EF0FFC" w:rsidRPr="00785469" w:rsidRDefault="00284036" w:rsidP="00B125DD">
      <w:pPr>
        <w:pStyle w:val="TEXTO-SIMPLES"/>
        <w:ind w:firstLine="0"/>
        <w:rPr>
          <w:rFonts w:asciiTheme="majorHAnsi" w:hAnsiTheme="majorHAnsi"/>
          <w:lang w:val="en-US"/>
        </w:rPr>
      </w:pPr>
      <w:r w:rsidRPr="0021622B">
        <w:rPr>
          <w:rFonts w:asciiTheme="majorHAnsi" w:hAnsiTheme="majorHAnsi"/>
        </w:rPr>
        <w:t>Idem</w:t>
      </w:r>
      <w:r w:rsidR="00EF0FFC" w:rsidRPr="0021622B">
        <w:rPr>
          <w:rFonts w:asciiTheme="majorHAnsi" w:hAnsiTheme="majorHAnsi"/>
        </w:rPr>
        <w:t xml:space="preserve">. </w:t>
      </w:r>
      <w:r w:rsidR="00EF0FFC" w:rsidRPr="00B125DD">
        <w:rPr>
          <w:rFonts w:asciiTheme="majorHAnsi" w:hAnsiTheme="majorHAnsi"/>
        </w:rPr>
        <w:t>Resolução da Diretoria Colegiada - RDC n°16, de 28 de março de 2013. Aprova o Regulamento Técnico de Boas Práticas de Fabricação de Produtos Médicos e Produtos para Diagnóstico de Uso In Vitro e dá outras providências.</w:t>
      </w:r>
      <w:r w:rsidR="00EF0FFC" w:rsidRPr="0021622B">
        <w:rPr>
          <w:rFonts w:asciiTheme="majorHAnsi" w:hAnsiTheme="majorHAnsi"/>
        </w:rPr>
        <w:t xml:space="preserve"> Disponível em &lt;http://bvsms.saude.gov.br/bvs/saudelegis/anvisa/2013/rdc0016_28_03_2013.pdf&gt;. </w:t>
      </w:r>
      <w:proofErr w:type="spellStart"/>
      <w:r w:rsidR="00EF0FFC" w:rsidRPr="00785469">
        <w:rPr>
          <w:rFonts w:asciiTheme="majorHAnsi" w:hAnsiTheme="majorHAnsi"/>
          <w:lang w:val="en-US"/>
        </w:rPr>
        <w:t>Acesso</w:t>
      </w:r>
      <w:proofErr w:type="spellEnd"/>
      <w:r w:rsidR="00EF0FFC" w:rsidRPr="00785469">
        <w:rPr>
          <w:rFonts w:asciiTheme="majorHAnsi" w:hAnsiTheme="majorHAnsi"/>
          <w:lang w:val="en-US"/>
        </w:rPr>
        <w:t xml:space="preserve"> em 01 Abr. 2017.</w:t>
      </w:r>
    </w:p>
    <w:p w14:paraId="7DD4AE1A" w14:textId="7BB5D59C" w:rsidR="00EF0FFC" w:rsidRPr="0021622B" w:rsidRDefault="00EF0FFC" w:rsidP="00B125DD">
      <w:pPr>
        <w:pStyle w:val="TEXTO-SIMPLES"/>
        <w:ind w:firstLine="0"/>
        <w:rPr>
          <w:rFonts w:asciiTheme="majorHAnsi" w:hAnsiTheme="majorHAnsi"/>
        </w:rPr>
      </w:pPr>
      <w:r w:rsidRPr="00785469">
        <w:rPr>
          <w:rFonts w:asciiTheme="majorHAnsi" w:hAnsiTheme="majorHAnsi"/>
          <w:lang w:val="en-US"/>
        </w:rPr>
        <w:t>ALVARENGA, A.V.; COSTA-FELIX, R.P.B. Uncertainty assessment of effective radiating area and beam non-uniformity ratio of ultrasound transducers determined according to IEC 61689:2007</w:t>
      </w:r>
      <w:r w:rsidR="008056D6" w:rsidRPr="00785469">
        <w:rPr>
          <w:rFonts w:asciiTheme="majorHAnsi" w:hAnsiTheme="majorHAnsi"/>
          <w:lang w:val="en-US"/>
        </w:rPr>
        <w:t xml:space="preserve">. </w:t>
      </w:r>
      <w:r w:rsidRPr="00B125DD">
        <w:rPr>
          <w:rFonts w:asciiTheme="majorHAnsi" w:hAnsiTheme="majorHAnsi"/>
        </w:rPr>
        <w:t>Metrologia</w:t>
      </w:r>
      <w:r w:rsidRPr="0021622B">
        <w:rPr>
          <w:rFonts w:asciiTheme="majorHAnsi" w:hAnsiTheme="majorHAnsi"/>
        </w:rPr>
        <w:t>, Vol. 46, pp. 367–374, 2009.</w:t>
      </w:r>
    </w:p>
    <w:p w14:paraId="632820F7" w14:textId="77777777"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ASSOCIAÇÃO BRASILEIRA DE NORMAS TÉCNICAS. </w:t>
      </w:r>
      <w:r w:rsidRPr="00B125DD">
        <w:rPr>
          <w:rFonts w:asciiTheme="majorHAnsi" w:hAnsiTheme="majorHAnsi"/>
        </w:rPr>
        <w:t>ABNT NBR ISO/IEC 17000:2005: Avaliação de conformidade - Vocabulário e princípios gerais</w:t>
      </w:r>
      <w:r w:rsidRPr="0021622B">
        <w:rPr>
          <w:rFonts w:asciiTheme="majorHAnsi" w:hAnsiTheme="majorHAnsi"/>
        </w:rPr>
        <w:t>. Rio de Janeiro, 2005.</w:t>
      </w:r>
    </w:p>
    <w:p w14:paraId="158597F2" w14:textId="77777777"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BRASIL. </w:t>
      </w:r>
      <w:r w:rsidRPr="00B125DD">
        <w:rPr>
          <w:rFonts w:asciiTheme="majorHAnsi" w:hAnsiTheme="majorHAnsi"/>
        </w:rPr>
        <w:t>Lei no. 6.360, de 23 de setembro de 1976. Dispõe sobre a Vigilância Sanitária a que ficam sujeitos os Medicamentos, as Drogas, os Insumos Farmacêuticos e Correlatos, Cosméticos, Saneantes e Outros Produtos, e dá outras Providências</w:t>
      </w:r>
      <w:r w:rsidRPr="0021622B">
        <w:rPr>
          <w:rFonts w:asciiTheme="majorHAnsi" w:hAnsiTheme="majorHAnsi"/>
        </w:rPr>
        <w:t xml:space="preserve">. Disponível em &lt;http://www.planalto.gov.br/ccivil_03/leis/L6360.htm&gt;. Acesso em 01 </w:t>
      </w:r>
      <w:proofErr w:type="gramStart"/>
      <w:r w:rsidRPr="0021622B">
        <w:rPr>
          <w:rFonts w:asciiTheme="majorHAnsi" w:hAnsiTheme="majorHAnsi"/>
        </w:rPr>
        <w:t>Abr.</w:t>
      </w:r>
      <w:proofErr w:type="gramEnd"/>
      <w:r w:rsidRPr="0021622B">
        <w:rPr>
          <w:rFonts w:asciiTheme="majorHAnsi" w:hAnsiTheme="majorHAnsi"/>
        </w:rPr>
        <w:t xml:space="preserve"> 2017.</w:t>
      </w:r>
    </w:p>
    <w:p w14:paraId="4122EE30" w14:textId="28A7A054" w:rsidR="00EF0FFC" w:rsidRPr="0021622B" w:rsidRDefault="00284036" w:rsidP="00B125DD">
      <w:pPr>
        <w:pStyle w:val="TEXTO-SIMPLES"/>
        <w:ind w:firstLine="0"/>
        <w:rPr>
          <w:rFonts w:asciiTheme="majorHAnsi" w:hAnsiTheme="majorHAnsi"/>
        </w:rPr>
      </w:pPr>
      <w:r w:rsidRPr="0021622B">
        <w:rPr>
          <w:rFonts w:asciiTheme="majorHAnsi" w:hAnsiTheme="majorHAnsi"/>
        </w:rPr>
        <w:t>Idem</w:t>
      </w:r>
      <w:r w:rsidR="00EF0FFC" w:rsidRPr="0021622B">
        <w:rPr>
          <w:rFonts w:asciiTheme="majorHAnsi" w:hAnsiTheme="majorHAnsi"/>
        </w:rPr>
        <w:t xml:space="preserve">. </w:t>
      </w:r>
      <w:r w:rsidR="00EF0FFC" w:rsidRPr="00B125DD">
        <w:rPr>
          <w:rFonts w:asciiTheme="majorHAnsi" w:hAnsiTheme="majorHAnsi"/>
        </w:rPr>
        <w:t xml:space="preserve">Lei </w:t>
      </w:r>
      <w:r w:rsidR="008056D6" w:rsidRPr="00B125DD">
        <w:rPr>
          <w:rFonts w:asciiTheme="majorHAnsi" w:hAnsiTheme="majorHAnsi"/>
        </w:rPr>
        <w:t>no.</w:t>
      </w:r>
      <w:r w:rsidR="00EF0FFC" w:rsidRPr="00B125DD">
        <w:rPr>
          <w:rFonts w:asciiTheme="majorHAnsi" w:hAnsiTheme="majorHAnsi"/>
        </w:rPr>
        <w:t xml:space="preserve"> 8.078, de 11 de setembro de 1990. Dispõe sobre a proteção do consumidor e dá outras providências.</w:t>
      </w:r>
      <w:r w:rsidR="00EF0FFC" w:rsidRPr="0021622B">
        <w:rPr>
          <w:rFonts w:asciiTheme="majorHAnsi" w:hAnsiTheme="majorHAnsi"/>
        </w:rPr>
        <w:t xml:space="preserve"> Disponível em &lt;http://www.planalto.gov.br/ccivil_03/leis/l8078.htm&gt;. Acesso em 01 </w:t>
      </w:r>
      <w:proofErr w:type="gramStart"/>
      <w:r w:rsidR="00EF0FFC" w:rsidRPr="0021622B">
        <w:rPr>
          <w:rFonts w:asciiTheme="majorHAnsi" w:hAnsiTheme="majorHAnsi"/>
        </w:rPr>
        <w:t>Abr.</w:t>
      </w:r>
      <w:proofErr w:type="gramEnd"/>
      <w:r w:rsidR="00EF0FFC" w:rsidRPr="0021622B">
        <w:rPr>
          <w:rFonts w:asciiTheme="majorHAnsi" w:hAnsiTheme="majorHAnsi"/>
        </w:rPr>
        <w:t xml:space="preserve"> 2017.</w:t>
      </w:r>
    </w:p>
    <w:p w14:paraId="74188804" w14:textId="4398888E" w:rsidR="00EF0FFC" w:rsidRPr="0021622B" w:rsidRDefault="00284036" w:rsidP="00B125DD">
      <w:pPr>
        <w:pStyle w:val="TEXTO-SIMPLES"/>
        <w:ind w:firstLine="0"/>
        <w:rPr>
          <w:rFonts w:asciiTheme="majorHAnsi" w:hAnsiTheme="majorHAnsi"/>
        </w:rPr>
      </w:pPr>
      <w:r w:rsidRPr="0021622B">
        <w:rPr>
          <w:rFonts w:asciiTheme="majorHAnsi" w:hAnsiTheme="majorHAnsi"/>
        </w:rPr>
        <w:t>Idem</w:t>
      </w:r>
      <w:r w:rsidR="00EF0FFC" w:rsidRPr="0021622B">
        <w:rPr>
          <w:rFonts w:asciiTheme="majorHAnsi" w:hAnsiTheme="majorHAnsi"/>
        </w:rPr>
        <w:t xml:space="preserve">. </w:t>
      </w:r>
      <w:r w:rsidR="00EF0FFC" w:rsidRPr="00B125DD">
        <w:rPr>
          <w:rFonts w:asciiTheme="majorHAnsi" w:hAnsiTheme="majorHAnsi"/>
        </w:rPr>
        <w:t xml:space="preserve">Lei </w:t>
      </w:r>
      <w:r w:rsidR="008056D6" w:rsidRPr="00B125DD">
        <w:rPr>
          <w:rFonts w:asciiTheme="majorHAnsi" w:hAnsiTheme="majorHAnsi"/>
        </w:rPr>
        <w:t>no.</w:t>
      </w:r>
      <w:r w:rsidR="00EF0FFC" w:rsidRPr="00B125DD">
        <w:rPr>
          <w:rFonts w:asciiTheme="majorHAnsi" w:hAnsiTheme="majorHAnsi"/>
        </w:rPr>
        <w:t xml:space="preserve"> 9.782, de 26 de janeiro de 1999. Define o Sistema Nacional de Vigilância Sanitária, cria a Agência Nacional de Vigilância Sanitária, e dá outras providências.</w:t>
      </w:r>
      <w:r w:rsidR="00EF0FFC" w:rsidRPr="0021622B">
        <w:rPr>
          <w:rFonts w:asciiTheme="majorHAnsi" w:hAnsiTheme="majorHAnsi"/>
        </w:rPr>
        <w:t xml:space="preserve"> Disponível em &lt;http://www.planalto.gov.br/ccivil_03/leis/L9782.htm&gt;. Acesso em 01 </w:t>
      </w:r>
      <w:proofErr w:type="gramStart"/>
      <w:r w:rsidR="00EF0FFC" w:rsidRPr="0021622B">
        <w:rPr>
          <w:rFonts w:asciiTheme="majorHAnsi" w:hAnsiTheme="majorHAnsi"/>
        </w:rPr>
        <w:t>Abr.</w:t>
      </w:r>
      <w:proofErr w:type="gramEnd"/>
      <w:r w:rsidR="00EF0FFC" w:rsidRPr="0021622B">
        <w:rPr>
          <w:rFonts w:asciiTheme="majorHAnsi" w:hAnsiTheme="majorHAnsi"/>
        </w:rPr>
        <w:t xml:space="preserve"> 2017.</w:t>
      </w:r>
    </w:p>
    <w:p w14:paraId="6C2706D3" w14:textId="77777777"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CARLSON, A.B. </w:t>
      </w:r>
      <w:r w:rsidRPr="00B125DD">
        <w:rPr>
          <w:rFonts w:asciiTheme="majorHAnsi" w:hAnsiTheme="majorHAnsi"/>
        </w:rPr>
        <w:t>Sistemas de comunicação</w:t>
      </w:r>
      <w:r w:rsidRPr="0021622B">
        <w:rPr>
          <w:rFonts w:asciiTheme="majorHAnsi" w:hAnsiTheme="majorHAnsi"/>
        </w:rPr>
        <w:t>. São Paulo, SP: McGraw-Hill do Brasil, 1981, 487pp.</w:t>
      </w:r>
    </w:p>
    <w:p w14:paraId="303DB2C8" w14:textId="2D1B5D36"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COSTA, R.M.; ALVARENGA, A.V.; COSTA-FELIX, R.P.B.; OMENA, T.P.; von KRUGER, M.A.; PEREIRA, W.C.A. </w:t>
      </w:r>
      <w:proofErr w:type="spellStart"/>
      <w:r w:rsidRPr="00B125DD">
        <w:rPr>
          <w:rFonts w:asciiTheme="majorHAnsi" w:hAnsiTheme="majorHAnsi"/>
        </w:rPr>
        <w:t>Thermochromic</w:t>
      </w:r>
      <w:proofErr w:type="spellEnd"/>
      <w:r w:rsidRPr="00B125DD">
        <w:rPr>
          <w:rFonts w:asciiTheme="majorHAnsi" w:hAnsiTheme="majorHAnsi"/>
        </w:rPr>
        <w:t xml:space="preserve"> </w:t>
      </w:r>
      <w:proofErr w:type="spellStart"/>
      <w:r w:rsidRPr="00B125DD">
        <w:rPr>
          <w:rFonts w:asciiTheme="majorHAnsi" w:hAnsiTheme="majorHAnsi"/>
        </w:rPr>
        <w:t>phantom</w:t>
      </w:r>
      <w:proofErr w:type="spellEnd"/>
      <w:r w:rsidRPr="00B125DD">
        <w:rPr>
          <w:rFonts w:asciiTheme="majorHAnsi" w:hAnsiTheme="majorHAnsi"/>
        </w:rPr>
        <w:t xml:space="preserve"> </w:t>
      </w:r>
      <w:proofErr w:type="spellStart"/>
      <w:r w:rsidRPr="00B125DD">
        <w:rPr>
          <w:rFonts w:asciiTheme="majorHAnsi" w:hAnsiTheme="majorHAnsi"/>
        </w:rPr>
        <w:t>and</w:t>
      </w:r>
      <w:proofErr w:type="spellEnd"/>
      <w:r w:rsidRPr="00B125DD">
        <w:rPr>
          <w:rFonts w:asciiTheme="majorHAnsi" w:hAnsiTheme="majorHAnsi"/>
        </w:rPr>
        <w:t xml:space="preserve"> </w:t>
      </w:r>
      <w:proofErr w:type="spellStart"/>
      <w:r w:rsidRPr="00B125DD">
        <w:rPr>
          <w:rFonts w:asciiTheme="majorHAnsi" w:hAnsiTheme="majorHAnsi"/>
        </w:rPr>
        <w:t>measurement</w:t>
      </w:r>
      <w:proofErr w:type="spellEnd"/>
      <w:r w:rsidRPr="00B125DD">
        <w:rPr>
          <w:rFonts w:asciiTheme="majorHAnsi" w:hAnsiTheme="majorHAnsi"/>
        </w:rPr>
        <w:t xml:space="preserve"> </w:t>
      </w:r>
      <w:proofErr w:type="spellStart"/>
      <w:r w:rsidRPr="00B125DD">
        <w:rPr>
          <w:rFonts w:asciiTheme="majorHAnsi" w:hAnsiTheme="majorHAnsi"/>
        </w:rPr>
        <w:t>protocol</w:t>
      </w:r>
      <w:proofErr w:type="spellEnd"/>
      <w:r w:rsidRPr="00B125DD">
        <w:rPr>
          <w:rFonts w:asciiTheme="majorHAnsi" w:hAnsiTheme="majorHAnsi"/>
        </w:rPr>
        <w:t xml:space="preserve"> for </w:t>
      </w:r>
      <w:proofErr w:type="spellStart"/>
      <w:r w:rsidRPr="00B125DD">
        <w:rPr>
          <w:rFonts w:asciiTheme="majorHAnsi" w:hAnsiTheme="majorHAnsi"/>
        </w:rPr>
        <w:t>qualitative</w:t>
      </w:r>
      <w:proofErr w:type="spellEnd"/>
      <w:r w:rsidRPr="00B125DD">
        <w:rPr>
          <w:rFonts w:asciiTheme="majorHAnsi" w:hAnsiTheme="majorHAnsi"/>
        </w:rPr>
        <w:t xml:space="preserve"> </w:t>
      </w:r>
      <w:proofErr w:type="spellStart"/>
      <w:r w:rsidRPr="00B125DD">
        <w:rPr>
          <w:rFonts w:asciiTheme="majorHAnsi" w:hAnsiTheme="majorHAnsi"/>
        </w:rPr>
        <w:t>analysis</w:t>
      </w:r>
      <w:proofErr w:type="spellEnd"/>
      <w:r w:rsidRPr="00B125DD">
        <w:rPr>
          <w:rFonts w:asciiTheme="majorHAnsi" w:hAnsiTheme="majorHAnsi"/>
        </w:rPr>
        <w:t xml:space="preserve"> </w:t>
      </w:r>
      <w:proofErr w:type="spellStart"/>
      <w:r w:rsidRPr="00B125DD">
        <w:rPr>
          <w:rFonts w:asciiTheme="majorHAnsi" w:hAnsiTheme="majorHAnsi"/>
        </w:rPr>
        <w:t>of</w:t>
      </w:r>
      <w:proofErr w:type="spellEnd"/>
      <w:r w:rsidRPr="00B125DD">
        <w:rPr>
          <w:rFonts w:asciiTheme="majorHAnsi" w:hAnsiTheme="majorHAnsi"/>
        </w:rPr>
        <w:t xml:space="preserve"> </w:t>
      </w:r>
      <w:proofErr w:type="spellStart"/>
      <w:r w:rsidRPr="00B125DD">
        <w:rPr>
          <w:rFonts w:asciiTheme="majorHAnsi" w:hAnsiTheme="majorHAnsi"/>
        </w:rPr>
        <w:t>ultrasound</w:t>
      </w:r>
      <w:proofErr w:type="spellEnd"/>
      <w:r w:rsidRPr="00B125DD">
        <w:rPr>
          <w:rFonts w:asciiTheme="majorHAnsi" w:hAnsiTheme="majorHAnsi"/>
        </w:rPr>
        <w:t xml:space="preserve"> </w:t>
      </w:r>
      <w:proofErr w:type="spellStart"/>
      <w:r w:rsidRPr="00B125DD">
        <w:rPr>
          <w:rFonts w:asciiTheme="majorHAnsi" w:hAnsiTheme="majorHAnsi"/>
        </w:rPr>
        <w:t>physiotherapy</w:t>
      </w:r>
      <w:proofErr w:type="spellEnd"/>
      <w:r w:rsidRPr="00B125DD">
        <w:rPr>
          <w:rFonts w:asciiTheme="majorHAnsi" w:hAnsiTheme="majorHAnsi"/>
        </w:rPr>
        <w:t xml:space="preserve"> systems</w:t>
      </w:r>
      <w:r w:rsidR="008056D6" w:rsidRPr="0021622B">
        <w:rPr>
          <w:rFonts w:asciiTheme="majorHAnsi" w:hAnsiTheme="majorHAnsi"/>
        </w:rPr>
        <w:t xml:space="preserve">. </w:t>
      </w:r>
      <w:proofErr w:type="spellStart"/>
      <w:r w:rsidRPr="00B125DD">
        <w:rPr>
          <w:rFonts w:asciiTheme="majorHAnsi" w:hAnsiTheme="majorHAnsi"/>
        </w:rPr>
        <w:t>Ultrasound</w:t>
      </w:r>
      <w:proofErr w:type="spellEnd"/>
      <w:r w:rsidRPr="00B125DD">
        <w:rPr>
          <w:rFonts w:asciiTheme="majorHAnsi" w:hAnsiTheme="majorHAnsi"/>
        </w:rPr>
        <w:t xml:space="preserve"> in Med. &amp; Biol.</w:t>
      </w:r>
      <w:r w:rsidRPr="0021622B">
        <w:rPr>
          <w:rFonts w:asciiTheme="majorHAnsi" w:hAnsiTheme="majorHAnsi"/>
        </w:rPr>
        <w:t xml:space="preserve">, Vol. 42, </w:t>
      </w:r>
      <w:proofErr w:type="gramStart"/>
      <w:r w:rsidR="008056D6" w:rsidRPr="00B125DD">
        <w:rPr>
          <w:rFonts w:asciiTheme="majorHAnsi" w:hAnsiTheme="majorHAnsi"/>
        </w:rPr>
        <w:t>No.</w:t>
      </w:r>
      <w:r w:rsidRPr="0021622B">
        <w:rPr>
          <w:rFonts w:asciiTheme="majorHAnsi" w:hAnsiTheme="majorHAnsi"/>
        </w:rPr>
        <w:t>.</w:t>
      </w:r>
      <w:proofErr w:type="gramEnd"/>
      <w:r w:rsidRPr="0021622B">
        <w:rPr>
          <w:rFonts w:asciiTheme="majorHAnsi" w:hAnsiTheme="majorHAnsi"/>
        </w:rPr>
        <w:t xml:space="preserve"> 1, pp. 299–307, 2016.</w:t>
      </w:r>
    </w:p>
    <w:p w14:paraId="4A006C4F" w14:textId="0EFE082C"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ELY, F.; HAMANAKA, M.H.M.O.; MAMMANA, A.P. </w:t>
      </w:r>
      <w:r w:rsidRPr="00B125DD">
        <w:rPr>
          <w:rFonts w:asciiTheme="majorHAnsi" w:hAnsiTheme="majorHAnsi"/>
        </w:rPr>
        <w:t xml:space="preserve">Cristais líquidos </w:t>
      </w:r>
      <w:proofErr w:type="spellStart"/>
      <w:r w:rsidRPr="00B125DD">
        <w:rPr>
          <w:rFonts w:asciiTheme="majorHAnsi" w:hAnsiTheme="majorHAnsi"/>
        </w:rPr>
        <w:t>colestéricos</w:t>
      </w:r>
      <w:proofErr w:type="spellEnd"/>
      <w:r w:rsidRPr="00B125DD">
        <w:rPr>
          <w:rFonts w:asciiTheme="majorHAnsi" w:hAnsiTheme="majorHAnsi"/>
        </w:rPr>
        <w:t xml:space="preserve">: a </w:t>
      </w:r>
      <w:proofErr w:type="spellStart"/>
      <w:r w:rsidRPr="00B125DD">
        <w:rPr>
          <w:rFonts w:asciiTheme="majorHAnsi" w:hAnsiTheme="majorHAnsi"/>
        </w:rPr>
        <w:t>quiralidade</w:t>
      </w:r>
      <w:proofErr w:type="spellEnd"/>
      <w:r w:rsidRPr="00B125DD">
        <w:rPr>
          <w:rFonts w:asciiTheme="majorHAnsi" w:hAnsiTheme="majorHAnsi"/>
        </w:rPr>
        <w:t xml:space="preserve"> revela as suas cores</w:t>
      </w:r>
      <w:r w:rsidR="008056D6" w:rsidRPr="0021622B">
        <w:rPr>
          <w:rFonts w:asciiTheme="majorHAnsi" w:hAnsiTheme="majorHAnsi"/>
        </w:rPr>
        <w:t xml:space="preserve">. </w:t>
      </w:r>
      <w:r w:rsidRPr="00B125DD">
        <w:rPr>
          <w:rFonts w:asciiTheme="majorHAnsi" w:hAnsiTheme="majorHAnsi"/>
        </w:rPr>
        <w:t>Quim. Nova</w:t>
      </w:r>
      <w:r w:rsidRPr="0021622B">
        <w:rPr>
          <w:rFonts w:asciiTheme="majorHAnsi" w:hAnsiTheme="majorHAnsi"/>
        </w:rPr>
        <w:t xml:space="preserve">, Vol. 30, </w:t>
      </w:r>
      <w:proofErr w:type="gramStart"/>
      <w:r w:rsidR="008056D6" w:rsidRPr="00B125DD">
        <w:rPr>
          <w:rFonts w:asciiTheme="majorHAnsi" w:hAnsiTheme="majorHAnsi"/>
        </w:rPr>
        <w:t>No.</w:t>
      </w:r>
      <w:r w:rsidRPr="0021622B">
        <w:rPr>
          <w:rFonts w:asciiTheme="majorHAnsi" w:hAnsiTheme="majorHAnsi"/>
        </w:rPr>
        <w:t>.</w:t>
      </w:r>
      <w:proofErr w:type="gramEnd"/>
      <w:r w:rsidRPr="0021622B">
        <w:rPr>
          <w:rFonts w:asciiTheme="majorHAnsi" w:hAnsiTheme="majorHAnsi"/>
        </w:rPr>
        <w:t xml:space="preserve"> 7, pp. 1776-1779, 2007.</w:t>
      </w:r>
    </w:p>
    <w:p w14:paraId="0D4801BF" w14:textId="77777777"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INMETRO. </w:t>
      </w:r>
      <w:r w:rsidRPr="00B125DD">
        <w:rPr>
          <w:rFonts w:asciiTheme="majorHAnsi" w:hAnsiTheme="majorHAnsi"/>
        </w:rPr>
        <w:t>A atividade de avaliação da conformidade</w:t>
      </w:r>
      <w:r w:rsidRPr="0021622B">
        <w:rPr>
          <w:rFonts w:asciiTheme="majorHAnsi" w:hAnsiTheme="majorHAnsi"/>
        </w:rPr>
        <w:t xml:space="preserve">. Disponível em &lt;http://www.inmetro.gov.br/qualidade/index.asp&gt;. Acesso em 01 </w:t>
      </w:r>
      <w:proofErr w:type="gramStart"/>
      <w:r w:rsidRPr="0021622B">
        <w:rPr>
          <w:rFonts w:asciiTheme="majorHAnsi" w:hAnsiTheme="majorHAnsi"/>
        </w:rPr>
        <w:t>Abr.</w:t>
      </w:r>
      <w:proofErr w:type="gramEnd"/>
      <w:r w:rsidRPr="0021622B">
        <w:rPr>
          <w:rFonts w:asciiTheme="majorHAnsi" w:hAnsiTheme="majorHAnsi"/>
        </w:rPr>
        <w:t xml:space="preserve"> 2017.</w:t>
      </w:r>
    </w:p>
    <w:p w14:paraId="1E77B735" w14:textId="428C2659" w:rsidR="00EF0FFC" w:rsidRPr="0021622B" w:rsidRDefault="00284036" w:rsidP="00B125DD">
      <w:pPr>
        <w:pStyle w:val="TEXTO-SIMPLES"/>
        <w:ind w:firstLine="0"/>
        <w:rPr>
          <w:rFonts w:asciiTheme="majorHAnsi" w:hAnsiTheme="majorHAnsi"/>
        </w:rPr>
      </w:pPr>
      <w:r w:rsidRPr="0021622B">
        <w:rPr>
          <w:rFonts w:asciiTheme="majorHAnsi" w:hAnsiTheme="majorHAnsi"/>
        </w:rPr>
        <w:t>Idem</w:t>
      </w:r>
      <w:r w:rsidR="00EF0FFC" w:rsidRPr="0021622B">
        <w:rPr>
          <w:rFonts w:asciiTheme="majorHAnsi" w:hAnsiTheme="majorHAnsi"/>
        </w:rPr>
        <w:t xml:space="preserve">. </w:t>
      </w:r>
      <w:r w:rsidR="00EF0FFC" w:rsidRPr="00B125DD">
        <w:rPr>
          <w:rFonts w:asciiTheme="majorHAnsi" w:hAnsiTheme="majorHAnsi"/>
        </w:rPr>
        <w:t>Agenda Regulatória do Inmetro</w:t>
      </w:r>
      <w:r w:rsidR="00EF0FFC" w:rsidRPr="0021622B">
        <w:rPr>
          <w:rFonts w:asciiTheme="majorHAnsi" w:hAnsiTheme="majorHAnsi"/>
        </w:rPr>
        <w:t xml:space="preserve">. Disponível em &lt;http://www.inmetro.gov.br/qualidade/agenda_regulatoria.asp&gt;. Acesso em 01 </w:t>
      </w:r>
      <w:proofErr w:type="gramStart"/>
      <w:r w:rsidR="00EF0FFC" w:rsidRPr="0021622B">
        <w:rPr>
          <w:rFonts w:asciiTheme="majorHAnsi" w:hAnsiTheme="majorHAnsi"/>
        </w:rPr>
        <w:t>Abr.</w:t>
      </w:r>
      <w:proofErr w:type="gramEnd"/>
      <w:r w:rsidR="00EF0FFC" w:rsidRPr="0021622B">
        <w:rPr>
          <w:rFonts w:asciiTheme="majorHAnsi" w:hAnsiTheme="majorHAnsi"/>
        </w:rPr>
        <w:t xml:space="preserve"> 2017.</w:t>
      </w:r>
    </w:p>
    <w:p w14:paraId="71BC3648" w14:textId="15A7FE2D" w:rsidR="00EF0FFC" w:rsidRPr="0021622B" w:rsidRDefault="00284036" w:rsidP="00B125DD">
      <w:pPr>
        <w:pStyle w:val="TEXTO-SIMPLES"/>
        <w:ind w:firstLine="0"/>
        <w:rPr>
          <w:rFonts w:asciiTheme="majorHAnsi" w:hAnsiTheme="majorHAnsi"/>
        </w:rPr>
      </w:pPr>
      <w:r w:rsidRPr="0021622B">
        <w:rPr>
          <w:rFonts w:asciiTheme="majorHAnsi" w:hAnsiTheme="majorHAnsi"/>
        </w:rPr>
        <w:t>Idem</w:t>
      </w:r>
      <w:r w:rsidR="00EF0FFC" w:rsidRPr="0021622B">
        <w:rPr>
          <w:rFonts w:asciiTheme="majorHAnsi" w:hAnsiTheme="majorHAnsi"/>
        </w:rPr>
        <w:t xml:space="preserve">. </w:t>
      </w:r>
      <w:r w:rsidR="00EF0FFC" w:rsidRPr="00B125DD">
        <w:rPr>
          <w:rFonts w:asciiTheme="majorHAnsi" w:hAnsiTheme="majorHAnsi"/>
        </w:rPr>
        <w:t>Portaria n.º 54, de 1 de fevereiro de 2016</w:t>
      </w:r>
      <w:r w:rsidR="00EF0FFC" w:rsidRPr="0021622B">
        <w:rPr>
          <w:rFonts w:asciiTheme="majorHAnsi" w:hAnsiTheme="majorHAnsi"/>
        </w:rPr>
        <w:t xml:space="preserve">. Disponível em &lt;http://www.inmetro.gov.br/legislacao/rtac/pdf/RTAC002377.pdf&gt;. Acesso em 01 </w:t>
      </w:r>
      <w:proofErr w:type="gramStart"/>
      <w:r w:rsidR="00EF0FFC" w:rsidRPr="0021622B">
        <w:rPr>
          <w:rFonts w:asciiTheme="majorHAnsi" w:hAnsiTheme="majorHAnsi"/>
        </w:rPr>
        <w:t>Abr.</w:t>
      </w:r>
      <w:proofErr w:type="gramEnd"/>
      <w:r w:rsidR="00EF0FFC" w:rsidRPr="0021622B">
        <w:rPr>
          <w:rFonts w:asciiTheme="majorHAnsi" w:hAnsiTheme="majorHAnsi"/>
        </w:rPr>
        <w:t xml:space="preserve"> 2017.</w:t>
      </w:r>
    </w:p>
    <w:p w14:paraId="5C7B53AD" w14:textId="68CEAFA7" w:rsidR="00EF0FFC" w:rsidRPr="0021622B" w:rsidRDefault="00284036" w:rsidP="00B125DD">
      <w:pPr>
        <w:pStyle w:val="TEXTO-SIMPLES"/>
        <w:ind w:firstLine="0"/>
        <w:rPr>
          <w:rFonts w:asciiTheme="majorHAnsi" w:hAnsiTheme="majorHAnsi"/>
        </w:rPr>
      </w:pPr>
      <w:r w:rsidRPr="0021622B">
        <w:rPr>
          <w:rFonts w:asciiTheme="majorHAnsi" w:hAnsiTheme="majorHAnsi"/>
        </w:rPr>
        <w:lastRenderedPageBreak/>
        <w:t>Idem</w:t>
      </w:r>
      <w:r w:rsidR="00EF0FFC" w:rsidRPr="0021622B">
        <w:rPr>
          <w:rFonts w:asciiTheme="majorHAnsi" w:hAnsiTheme="majorHAnsi"/>
        </w:rPr>
        <w:t xml:space="preserve">. </w:t>
      </w:r>
      <w:r w:rsidR="00EF0FFC" w:rsidRPr="00B125DD">
        <w:rPr>
          <w:rFonts w:asciiTheme="majorHAnsi" w:hAnsiTheme="majorHAnsi"/>
        </w:rPr>
        <w:t>Termo de Referência do SBAC</w:t>
      </w:r>
      <w:r w:rsidR="00EF0FFC" w:rsidRPr="0021622B">
        <w:rPr>
          <w:rFonts w:asciiTheme="majorHAnsi" w:hAnsiTheme="majorHAnsi"/>
        </w:rPr>
        <w:t xml:space="preserve">. Disponível em &lt;http://www.inmetro.gov.br/qualidade/comites/sbac_termo.asp&gt;. Acesso em 01 </w:t>
      </w:r>
      <w:proofErr w:type="gramStart"/>
      <w:r w:rsidR="00EF0FFC" w:rsidRPr="0021622B">
        <w:rPr>
          <w:rFonts w:asciiTheme="majorHAnsi" w:hAnsiTheme="majorHAnsi"/>
        </w:rPr>
        <w:t>Abr.</w:t>
      </w:r>
      <w:proofErr w:type="gramEnd"/>
      <w:r w:rsidR="00EF0FFC" w:rsidRPr="0021622B">
        <w:rPr>
          <w:rFonts w:asciiTheme="majorHAnsi" w:hAnsiTheme="majorHAnsi"/>
        </w:rPr>
        <w:t xml:space="preserve"> 2017.</w:t>
      </w:r>
    </w:p>
    <w:p w14:paraId="024606DE" w14:textId="77777777" w:rsidR="00EF0FFC" w:rsidRPr="001A0BF3" w:rsidRDefault="00EF0FFC" w:rsidP="00B125DD">
      <w:pPr>
        <w:pStyle w:val="TEXTO-SIMPLES"/>
        <w:ind w:firstLine="0"/>
        <w:rPr>
          <w:rFonts w:asciiTheme="majorHAnsi" w:hAnsiTheme="majorHAnsi"/>
          <w:lang w:val="en-US"/>
        </w:rPr>
      </w:pPr>
      <w:r w:rsidRPr="0021622B">
        <w:rPr>
          <w:rFonts w:asciiTheme="majorHAnsi" w:hAnsiTheme="majorHAnsi"/>
        </w:rPr>
        <w:t xml:space="preserve">INTERNATIONAL ELECTROTECHNICAL COMMISSION. Disponível em &lt;http://www.iec.ch&gt;. </w:t>
      </w:r>
      <w:proofErr w:type="spellStart"/>
      <w:r w:rsidRPr="001A0BF3">
        <w:rPr>
          <w:rFonts w:asciiTheme="majorHAnsi" w:hAnsiTheme="majorHAnsi"/>
          <w:lang w:val="en-US"/>
        </w:rPr>
        <w:t>Acesso</w:t>
      </w:r>
      <w:proofErr w:type="spellEnd"/>
      <w:r w:rsidRPr="001A0BF3">
        <w:rPr>
          <w:rFonts w:asciiTheme="majorHAnsi" w:hAnsiTheme="majorHAnsi"/>
          <w:lang w:val="en-US"/>
        </w:rPr>
        <w:t xml:space="preserve"> em: 01 Abr. 2017.</w:t>
      </w:r>
    </w:p>
    <w:p w14:paraId="53821F28" w14:textId="5C35996B" w:rsidR="00EF0FFC" w:rsidRPr="00785469" w:rsidRDefault="00284036" w:rsidP="00B125DD">
      <w:pPr>
        <w:pStyle w:val="TEXTO-SIMPLES"/>
        <w:ind w:firstLine="0"/>
        <w:rPr>
          <w:rFonts w:asciiTheme="majorHAnsi" w:hAnsiTheme="majorHAnsi"/>
          <w:lang w:val="en-US"/>
        </w:rPr>
      </w:pPr>
      <w:r w:rsidRPr="00785469">
        <w:rPr>
          <w:rFonts w:asciiTheme="majorHAnsi" w:hAnsiTheme="majorHAnsi"/>
          <w:lang w:val="en-US"/>
        </w:rPr>
        <w:t>Idem</w:t>
      </w:r>
      <w:r w:rsidR="00EF0FFC" w:rsidRPr="00785469">
        <w:rPr>
          <w:rFonts w:asciiTheme="majorHAnsi" w:hAnsiTheme="majorHAnsi"/>
          <w:lang w:val="en-US"/>
        </w:rPr>
        <w:t xml:space="preserve">. IEC 62353:2014. Medical electrical equipment - Recurrent test and test after repair of medical electrical equipment. </w:t>
      </w:r>
      <w:proofErr w:type="spellStart"/>
      <w:r w:rsidR="00EF0FFC" w:rsidRPr="00785469">
        <w:rPr>
          <w:rFonts w:asciiTheme="majorHAnsi" w:hAnsiTheme="majorHAnsi"/>
          <w:lang w:val="en-US"/>
        </w:rPr>
        <w:t>Genebra</w:t>
      </w:r>
      <w:proofErr w:type="spellEnd"/>
      <w:r w:rsidR="00EF0FFC" w:rsidRPr="00785469">
        <w:rPr>
          <w:rFonts w:asciiTheme="majorHAnsi" w:hAnsiTheme="majorHAnsi"/>
          <w:lang w:val="en-US"/>
        </w:rPr>
        <w:t>, 2014.</w:t>
      </w:r>
    </w:p>
    <w:p w14:paraId="41F21754" w14:textId="613E849E" w:rsidR="00EF0FFC" w:rsidRPr="0021622B" w:rsidRDefault="00284036" w:rsidP="00B125DD">
      <w:pPr>
        <w:pStyle w:val="TEXTO-SIMPLES"/>
        <w:ind w:firstLine="0"/>
        <w:rPr>
          <w:rFonts w:asciiTheme="majorHAnsi" w:hAnsiTheme="majorHAnsi"/>
        </w:rPr>
      </w:pPr>
      <w:r w:rsidRPr="00785469">
        <w:rPr>
          <w:rFonts w:asciiTheme="majorHAnsi" w:hAnsiTheme="majorHAnsi"/>
          <w:lang w:val="en-US"/>
        </w:rPr>
        <w:t>Idem</w:t>
      </w:r>
      <w:r w:rsidR="00EF0FFC" w:rsidRPr="00785469">
        <w:rPr>
          <w:rFonts w:asciiTheme="majorHAnsi" w:hAnsiTheme="majorHAnsi"/>
          <w:lang w:val="en-US"/>
        </w:rPr>
        <w:t xml:space="preserve">. IEC TR 62354:2014. General testing procedures for medical electrical equipment. </w:t>
      </w:r>
      <w:r w:rsidR="00EF0FFC" w:rsidRPr="0021622B">
        <w:rPr>
          <w:rFonts w:asciiTheme="majorHAnsi" w:hAnsiTheme="majorHAnsi"/>
        </w:rPr>
        <w:t>Genebra, 2014.</w:t>
      </w:r>
    </w:p>
    <w:p w14:paraId="7F75BB2B" w14:textId="77777777" w:rsidR="00EF0FFC" w:rsidRPr="0021622B" w:rsidRDefault="00EF0FFC" w:rsidP="00B125DD">
      <w:pPr>
        <w:pStyle w:val="TEXTO-SIMPLES"/>
        <w:ind w:firstLine="0"/>
        <w:rPr>
          <w:rFonts w:asciiTheme="majorHAnsi" w:hAnsiTheme="majorHAnsi"/>
        </w:rPr>
      </w:pPr>
      <w:r w:rsidRPr="0021622B">
        <w:rPr>
          <w:rFonts w:asciiTheme="majorHAnsi" w:hAnsiTheme="majorHAnsi"/>
        </w:rPr>
        <w:t xml:space="preserve">NASCIMENTO, Jorge Luiz Guerra do. </w:t>
      </w:r>
      <w:r w:rsidRPr="00B125DD">
        <w:rPr>
          <w:rFonts w:asciiTheme="majorHAnsi" w:hAnsiTheme="majorHAnsi"/>
        </w:rPr>
        <w:t>A assistência técnica de equipamentos elétricos sob regime de vigilância sanitária: análise do regulamento nacional e potenciais melhorias técnicas</w:t>
      </w:r>
      <w:r w:rsidRPr="0021622B">
        <w:rPr>
          <w:rFonts w:asciiTheme="majorHAnsi" w:hAnsiTheme="majorHAnsi"/>
        </w:rPr>
        <w:t>. 2016. 140f. Dissertação (Mestrado Profissional em Metrologia e Qualidade) – Instituto Nacional de Metrologia, Qualidade e Tecnologia, Duque de Caxias.</w:t>
      </w:r>
    </w:p>
    <w:p w14:paraId="2125CBFA" w14:textId="367293BD" w:rsidR="002A4E87" w:rsidRPr="00785469" w:rsidRDefault="00865A99" w:rsidP="00B125DD">
      <w:pPr>
        <w:pStyle w:val="TEXTO-SIMPLES"/>
        <w:ind w:firstLine="0"/>
        <w:rPr>
          <w:rFonts w:asciiTheme="majorHAnsi" w:hAnsiTheme="majorHAnsi"/>
          <w:lang w:val="en-US"/>
        </w:rPr>
      </w:pPr>
      <w:r w:rsidRPr="0021622B">
        <w:rPr>
          <w:rFonts w:asciiTheme="majorHAnsi" w:hAnsiTheme="majorHAnsi"/>
        </w:rPr>
        <w:t xml:space="preserve">GIFFONI, R.T.; TORRES, R.M. </w:t>
      </w:r>
      <w:r w:rsidRPr="00B125DD">
        <w:rPr>
          <w:rFonts w:asciiTheme="majorHAnsi" w:hAnsiTheme="majorHAnsi"/>
        </w:rPr>
        <w:t>Breve história da eletrocardiografia</w:t>
      </w:r>
      <w:r w:rsidR="0073521D" w:rsidRPr="0021622B">
        <w:rPr>
          <w:rFonts w:asciiTheme="majorHAnsi" w:hAnsiTheme="majorHAnsi"/>
        </w:rPr>
        <w:t xml:space="preserve">. </w:t>
      </w:r>
      <w:r w:rsidRPr="00785469">
        <w:rPr>
          <w:rFonts w:asciiTheme="majorHAnsi" w:hAnsiTheme="majorHAnsi"/>
          <w:lang w:val="en-US"/>
        </w:rPr>
        <w:t xml:space="preserve">Rev Med Minas </w:t>
      </w:r>
      <w:proofErr w:type="spellStart"/>
      <w:r w:rsidRPr="00785469">
        <w:rPr>
          <w:rFonts w:asciiTheme="majorHAnsi" w:hAnsiTheme="majorHAnsi"/>
          <w:lang w:val="en-US"/>
        </w:rPr>
        <w:t>Gerais</w:t>
      </w:r>
      <w:proofErr w:type="spellEnd"/>
      <w:r w:rsidRPr="00785469">
        <w:rPr>
          <w:rFonts w:asciiTheme="majorHAnsi" w:hAnsiTheme="majorHAnsi"/>
          <w:lang w:val="en-US"/>
        </w:rPr>
        <w:t>, Vol 20(2), pp 263-270, 2010.</w:t>
      </w:r>
    </w:p>
    <w:p w14:paraId="0BB90565" w14:textId="645A7F88" w:rsidR="001F1865" w:rsidRPr="00B125DD" w:rsidRDefault="00DF292E" w:rsidP="00B125DD">
      <w:pPr>
        <w:pStyle w:val="TEXTO-SIMPLES"/>
        <w:ind w:firstLine="0"/>
        <w:rPr>
          <w:rFonts w:asciiTheme="majorHAnsi" w:hAnsiTheme="majorHAnsi"/>
        </w:rPr>
      </w:pPr>
      <w:r w:rsidRPr="00785469">
        <w:rPr>
          <w:rFonts w:asciiTheme="majorHAnsi" w:hAnsiTheme="majorHAnsi"/>
          <w:lang w:val="en-US"/>
        </w:rPr>
        <w:t xml:space="preserve">USA, U.S. Department of Energy, University of California, Lawrence Livermore National Laboratory. </w:t>
      </w:r>
      <w:r w:rsidR="00E02C51" w:rsidRPr="00785469">
        <w:rPr>
          <w:rFonts w:asciiTheme="majorHAnsi" w:hAnsiTheme="majorHAnsi"/>
          <w:lang w:val="en-US"/>
        </w:rPr>
        <w:t>Environment, S</w:t>
      </w:r>
      <w:r w:rsidR="00560243" w:rsidRPr="00785469">
        <w:rPr>
          <w:rFonts w:asciiTheme="majorHAnsi" w:hAnsiTheme="majorHAnsi"/>
          <w:lang w:val="en-US"/>
        </w:rPr>
        <w:t>afety, and Health Manual</w:t>
      </w:r>
      <w:r w:rsidR="0073521D" w:rsidRPr="00785469">
        <w:rPr>
          <w:rFonts w:asciiTheme="majorHAnsi" w:hAnsiTheme="majorHAnsi"/>
          <w:lang w:val="en-US"/>
        </w:rPr>
        <w:t xml:space="preserve">. </w:t>
      </w:r>
      <w:proofErr w:type="spellStart"/>
      <w:r w:rsidR="00560243" w:rsidRPr="00785469">
        <w:rPr>
          <w:rFonts w:asciiTheme="majorHAnsi" w:hAnsiTheme="majorHAnsi"/>
          <w:lang w:val="en-US"/>
        </w:rPr>
        <w:t>Vol.</w:t>
      </w:r>
      <w:r w:rsidR="00E02C51" w:rsidRPr="00785469">
        <w:rPr>
          <w:rFonts w:asciiTheme="majorHAnsi" w:hAnsiTheme="majorHAnsi"/>
          <w:lang w:val="en-US"/>
        </w:rPr>
        <w:t>II</w:t>
      </w:r>
      <w:proofErr w:type="spellEnd"/>
      <w:r w:rsidR="00560243" w:rsidRPr="00785469">
        <w:rPr>
          <w:rFonts w:asciiTheme="majorHAnsi" w:hAnsiTheme="majorHAnsi"/>
          <w:lang w:val="en-US"/>
        </w:rPr>
        <w:t>, Part</w:t>
      </w:r>
      <w:r w:rsidRPr="00785469">
        <w:rPr>
          <w:rFonts w:asciiTheme="majorHAnsi" w:hAnsiTheme="majorHAnsi"/>
          <w:lang w:val="en-US"/>
        </w:rPr>
        <w:t xml:space="preserve">. </w:t>
      </w:r>
      <w:proofErr w:type="gramStart"/>
      <w:r w:rsidR="00E02C51" w:rsidRPr="00785469">
        <w:rPr>
          <w:rFonts w:asciiTheme="majorHAnsi" w:hAnsiTheme="majorHAnsi"/>
          <w:lang w:val="en-US"/>
        </w:rPr>
        <w:t>4</w:t>
      </w:r>
      <w:proofErr w:type="gramEnd"/>
      <w:r w:rsidR="00560243" w:rsidRPr="00785469">
        <w:rPr>
          <w:rFonts w:asciiTheme="majorHAnsi" w:hAnsiTheme="majorHAnsi"/>
          <w:lang w:val="en-US"/>
        </w:rPr>
        <w:t xml:space="preserve">: </w:t>
      </w:r>
      <w:proofErr w:type="spellStart"/>
      <w:r w:rsidR="00E02C51" w:rsidRPr="00785469">
        <w:rPr>
          <w:rFonts w:asciiTheme="majorHAnsi" w:hAnsiTheme="majorHAnsi"/>
          <w:lang w:val="en-US"/>
        </w:rPr>
        <w:t>Electiricy</w:t>
      </w:r>
      <w:proofErr w:type="spellEnd"/>
      <w:r w:rsidR="00560243" w:rsidRPr="00785469">
        <w:rPr>
          <w:rFonts w:asciiTheme="majorHAnsi" w:hAnsiTheme="majorHAnsi"/>
          <w:lang w:val="en-US"/>
        </w:rPr>
        <w:t xml:space="preserve">, </w:t>
      </w:r>
      <w:proofErr w:type="spellStart"/>
      <w:r w:rsidR="00560243" w:rsidRPr="00785469">
        <w:rPr>
          <w:rFonts w:asciiTheme="majorHAnsi" w:hAnsiTheme="majorHAnsi"/>
          <w:lang w:val="en-US"/>
        </w:rPr>
        <w:t>Apendix</w:t>
      </w:r>
      <w:proofErr w:type="spellEnd"/>
      <w:r w:rsidR="00560243" w:rsidRPr="00785469">
        <w:rPr>
          <w:rFonts w:asciiTheme="majorHAnsi" w:hAnsiTheme="majorHAnsi"/>
          <w:lang w:val="en-US"/>
        </w:rPr>
        <w:t xml:space="preserve"> 23-B: Effects of Electrical Energy on Humans, Doc. </w:t>
      </w:r>
      <w:r w:rsidR="00560243" w:rsidRPr="0021622B">
        <w:rPr>
          <w:rFonts w:asciiTheme="majorHAnsi" w:hAnsiTheme="majorHAnsi"/>
        </w:rPr>
        <w:t>UCRL-MA-13</w:t>
      </w:r>
      <w:r w:rsidRPr="0021622B">
        <w:rPr>
          <w:rFonts w:asciiTheme="majorHAnsi" w:hAnsiTheme="majorHAnsi"/>
        </w:rPr>
        <w:t>3867.</w:t>
      </w:r>
    </w:p>
    <w:p w14:paraId="0BA09FC4" w14:textId="58F39029"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AGÊNCIA NACIONAL DE VIGILÂNCIA SANITÁRIA (Anvisa). </w:t>
      </w:r>
      <w:r w:rsidR="0073521D" w:rsidRPr="0021622B">
        <w:rPr>
          <w:rFonts w:asciiTheme="majorHAnsi" w:hAnsiTheme="majorHAnsi"/>
        </w:rPr>
        <w:t>Disponível em</w:t>
      </w:r>
      <w:r w:rsidRPr="0021622B">
        <w:rPr>
          <w:rFonts w:asciiTheme="majorHAnsi" w:hAnsiTheme="majorHAnsi"/>
        </w:rPr>
        <w:t xml:space="preserve"> </w:t>
      </w:r>
      <w:r w:rsidR="0073521D" w:rsidRPr="0021622B">
        <w:rPr>
          <w:rFonts w:asciiTheme="majorHAnsi" w:hAnsiTheme="majorHAnsi"/>
        </w:rPr>
        <w:t>&lt;</w:t>
      </w:r>
      <w:hyperlink w:history="1">
        <w:r w:rsidR="0073521D" w:rsidRPr="00B125DD">
          <w:t>http://portal.anvisa.gov.br&gt;</w:t>
        </w:r>
      </w:hyperlink>
      <w:r w:rsidR="0073521D" w:rsidRPr="0021622B">
        <w:rPr>
          <w:rFonts w:asciiTheme="majorHAnsi" w:hAnsiTheme="majorHAnsi"/>
        </w:rPr>
        <w:t xml:space="preserve">. 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2C1DE232" w14:textId="4A4265AF"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ASSOCIAÇÃO BRASILEIRA DE NORMAS TÉCNICAS (ABNT). </w:t>
      </w:r>
      <w:r w:rsidR="0073521D" w:rsidRPr="0021622B">
        <w:rPr>
          <w:rFonts w:asciiTheme="majorHAnsi" w:hAnsiTheme="majorHAnsi"/>
        </w:rPr>
        <w:t>Disponível em &lt;</w:t>
      </w:r>
      <w:hyperlink r:id="rId26" w:history="1">
        <w:r w:rsidRPr="00B125DD">
          <w:t>http://www.abnt.org.br</w:t>
        </w:r>
        <w:r w:rsidR="0073521D" w:rsidRPr="00B125DD">
          <w:t>&gt;</w:t>
        </w:r>
      </w:hyperlink>
      <w:r w:rsidRPr="0021622B">
        <w:rPr>
          <w:rFonts w:asciiTheme="majorHAnsi" w:hAnsiTheme="majorHAnsi"/>
        </w:rPr>
        <w:t>.</w:t>
      </w:r>
      <w:r w:rsidR="0073521D" w:rsidRPr="0021622B">
        <w:rPr>
          <w:rFonts w:asciiTheme="majorHAnsi" w:hAnsiTheme="majorHAnsi"/>
        </w:rPr>
        <w:t xml:space="preserve"> 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3235145A" w14:textId="77777777" w:rsidR="00777793" w:rsidRPr="0021622B" w:rsidRDefault="00CA6EF9" w:rsidP="00B125DD">
      <w:pPr>
        <w:pStyle w:val="TEXTO-SIMPLES"/>
        <w:ind w:firstLine="0"/>
        <w:rPr>
          <w:rFonts w:asciiTheme="majorHAnsi" w:hAnsiTheme="majorHAnsi"/>
        </w:rPr>
      </w:pPr>
      <w:r w:rsidRPr="0021622B">
        <w:rPr>
          <w:rFonts w:asciiTheme="majorHAnsi" w:hAnsiTheme="majorHAnsi"/>
        </w:rPr>
        <w:t xml:space="preserve">BIOMED – ELETROMIOGRAFIA. </w:t>
      </w:r>
      <w:r w:rsidR="0073521D" w:rsidRPr="0021622B">
        <w:rPr>
          <w:rFonts w:asciiTheme="majorHAnsi" w:hAnsiTheme="majorHAnsi"/>
        </w:rPr>
        <w:t>Disponível em &lt;</w:t>
      </w:r>
      <w:r w:rsidRPr="0021622B">
        <w:rPr>
          <w:rFonts w:asciiTheme="majorHAnsi" w:hAnsiTheme="majorHAnsi"/>
        </w:rPr>
        <w:t>http://biomedidas.com.br/produto/eletromiografia</w:t>
      </w:r>
      <w:r w:rsidR="0073521D" w:rsidRPr="0021622B">
        <w:rPr>
          <w:rFonts w:asciiTheme="majorHAnsi" w:hAnsiTheme="majorHAnsi"/>
        </w:rPr>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6251FDAD" w14:textId="77777777" w:rsidR="00777793" w:rsidRPr="0021622B" w:rsidRDefault="00CA6EF9" w:rsidP="00B125DD">
      <w:pPr>
        <w:pStyle w:val="TEXTO-SIMPLES"/>
        <w:ind w:firstLine="0"/>
        <w:rPr>
          <w:rFonts w:asciiTheme="majorHAnsi" w:hAnsiTheme="majorHAnsi"/>
        </w:rPr>
      </w:pPr>
      <w:r w:rsidRPr="0021622B">
        <w:rPr>
          <w:rFonts w:asciiTheme="majorHAnsi" w:hAnsiTheme="majorHAnsi"/>
        </w:rPr>
        <w:t xml:space="preserve">BIOTECMED – DISTRIBUIDORA DE MATERIAIS PARA SAÚDE. </w:t>
      </w:r>
      <w:r w:rsidR="0073521D" w:rsidRPr="0021622B">
        <w:rPr>
          <w:rFonts w:asciiTheme="majorHAnsi" w:hAnsiTheme="majorHAnsi"/>
        </w:rPr>
        <w:t>Disponível em</w:t>
      </w:r>
      <w:r w:rsidRPr="0021622B">
        <w:rPr>
          <w:rFonts w:asciiTheme="majorHAnsi" w:hAnsiTheme="majorHAnsi"/>
        </w:rPr>
        <w:t xml:space="preserve"> </w:t>
      </w:r>
      <w:r w:rsidR="0073521D" w:rsidRPr="0021622B">
        <w:rPr>
          <w:rFonts w:asciiTheme="majorHAnsi" w:hAnsiTheme="majorHAnsi"/>
        </w:rPr>
        <w:t>&lt;</w:t>
      </w:r>
      <w:r w:rsidRPr="0021622B">
        <w:rPr>
          <w:rFonts w:asciiTheme="majorHAnsi" w:hAnsiTheme="majorHAnsi"/>
        </w:rPr>
        <w:t>https://www.biotecmed.com.br</w:t>
      </w:r>
      <w:r w:rsidR="0073521D" w:rsidRPr="0021622B">
        <w:rPr>
          <w:rFonts w:asciiTheme="majorHAnsi" w:hAnsiTheme="majorHAnsi"/>
        </w:rPr>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6EE4A9DC" w14:textId="7E7DB4DA"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ELETROCARDIOGRAMA. </w:t>
      </w:r>
      <w:r w:rsidR="0073521D" w:rsidRPr="0021622B">
        <w:rPr>
          <w:rFonts w:asciiTheme="majorHAnsi" w:hAnsiTheme="majorHAnsi"/>
        </w:rPr>
        <w:t>Disponível em &lt;</w:t>
      </w:r>
      <w:r w:rsidRPr="0021622B">
        <w:rPr>
          <w:rFonts w:asciiTheme="majorHAnsi" w:hAnsiTheme="majorHAnsi"/>
        </w:rPr>
        <w:t>http://www.uff.br/fisio6/aulas/aula_10/topico_09.htm</w:t>
      </w:r>
      <w:r w:rsidR="0073521D" w:rsidRPr="0021622B">
        <w:rPr>
          <w:rFonts w:asciiTheme="majorHAnsi" w:hAnsiTheme="majorHAnsi"/>
        </w:rPr>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7C4103BC" w14:textId="77777777" w:rsidR="00777793" w:rsidRPr="0021622B" w:rsidRDefault="00CA6EF9" w:rsidP="00B125DD">
      <w:pPr>
        <w:pStyle w:val="TEXTO-SIMPLES"/>
        <w:ind w:firstLine="0"/>
        <w:rPr>
          <w:rFonts w:asciiTheme="majorHAnsi" w:hAnsiTheme="majorHAnsi"/>
        </w:rPr>
      </w:pPr>
      <w:r w:rsidRPr="0021622B">
        <w:rPr>
          <w:rFonts w:asciiTheme="majorHAnsi" w:hAnsiTheme="majorHAnsi"/>
        </w:rPr>
        <w:t xml:space="preserve">ELETROENCEFALOGRAFIA. </w:t>
      </w:r>
      <w:r w:rsidR="0073521D" w:rsidRPr="0021622B">
        <w:rPr>
          <w:rFonts w:asciiTheme="majorHAnsi" w:hAnsiTheme="majorHAnsi"/>
        </w:rPr>
        <w:t>Disponível em &lt;</w:t>
      </w:r>
      <w:hyperlink r:id="rId27" w:history="1">
        <w:r w:rsidRPr="00B125DD">
          <w:t>https://pt.wikipedia.org/wiki/Eletroencefalografia</w:t>
        </w:r>
      </w:hyperlink>
      <w:r w:rsidR="0073521D" w:rsidRPr="00B125DD">
        <w:t xml:space="preserve">&gt;. </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5E83B267" w14:textId="7043CDA0" w:rsidR="00777793" w:rsidRPr="0021622B" w:rsidRDefault="00CA6EF9" w:rsidP="00B125DD">
      <w:pPr>
        <w:pStyle w:val="TEXTO-SIMPLES"/>
        <w:ind w:firstLine="0"/>
        <w:rPr>
          <w:rFonts w:asciiTheme="majorHAnsi" w:hAnsiTheme="majorHAnsi"/>
        </w:rPr>
      </w:pPr>
      <w:r w:rsidRPr="0021622B">
        <w:rPr>
          <w:rFonts w:asciiTheme="majorHAnsi" w:hAnsiTheme="majorHAnsi"/>
        </w:rPr>
        <w:t xml:space="preserve">ELETROMIOGRAFIA. </w:t>
      </w:r>
      <w:r w:rsidR="0073521D" w:rsidRPr="0021622B">
        <w:rPr>
          <w:rFonts w:asciiTheme="majorHAnsi" w:hAnsiTheme="majorHAnsi"/>
        </w:rPr>
        <w:t>Disponível em &lt;</w:t>
      </w:r>
      <w:r w:rsidRPr="0021622B">
        <w:rPr>
          <w:rFonts w:asciiTheme="majorHAnsi" w:hAnsiTheme="majorHAnsi"/>
        </w:rPr>
        <w:t>http://www.saudemedicina.com/eletromiografia-emg</w:t>
      </w:r>
      <w:r w:rsidR="0073521D" w:rsidRPr="0021622B">
        <w:rPr>
          <w:rFonts w:asciiTheme="majorHAnsi" w:hAnsiTheme="majorHAnsi"/>
        </w:rPr>
        <w:t xml:space="preserve">&gt;. 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2E4F5FC6" w14:textId="74347845"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ELETROMIOGRAFIA. </w:t>
      </w:r>
      <w:r w:rsidR="0073521D" w:rsidRPr="0021622B">
        <w:rPr>
          <w:rFonts w:asciiTheme="majorHAnsi" w:hAnsiTheme="majorHAnsi"/>
        </w:rPr>
        <w:t>Disponível em &lt;</w:t>
      </w:r>
      <w:hyperlink r:id="rId28" w:history="1">
        <w:r w:rsidRPr="00B125DD">
          <w:t>https://pt.wikipedia.org/wiki/Eletromiografia</w:t>
        </w:r>
      </w:hyperlink>
      <w:r w:rsidR="0073521D" w:rsidRPr="00B125DD">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361A089F" w14:textId="1BF6E6BB"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ESFIGMOMANÔMETRO. </w:t>
      </w:r>
      <w:r w:rsidR="0073521D" w:rsidRPr="0021622B">
        <w:rPr>
          <w:rFonts w:asciiTheme="majorHAnsi" w:hAnsiTheme="majorHAnsi"/>
        </w:rPr>
        <w:t>Disponível em &lt;</w:t>
      </w:r>
      <w:r w:rsidRPr="0021622B">
        <w:rPr>
          <w:rFonts w:asciiTheme="majorHAnsi" w:hAnsiTheme="majorHAnsi"/>
        </w:rPr>
        <w:t>https://pt.wikipedia.org/wiki/Esfigmomanômetro</w:t>
      </w:r>
      <w:r w:rsidR="0073521D" w:rsidRPr="0021622B">
        <w:rPr>
          <w:rFonts w:asciiTheme="majorHAnsi" w:hAnsiTheme="majorHAnsi"/>
        </w:rPr>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69342C68" w14:textId="69FE4A8E" w:rsidR="00777793" w:rsidRPr="0021622B" w:rsidRDefault="00CA6EF9" w:rsidP="00B125DD">
      <w:pPr>
        <w:pStyle w:val="TEXTO-SIMPLES"/>
        <w:ind w:firstLine="0"/>
        <w:rPr>
          <w:rFonts w:asciiTheme="majorHAnsi" w:hAnsiTheme="majorHAnsi"/>
        </w:rPr>
      </w:pPr>
      <w:r w:rsidRPr="0021622B">
        <w:rPr>
          <w:rFonts w:asciiTheme="majorHAnsi" w:hAnsiTheme="majorHAnsi"/>
        </w:rPr>
        <w:t xml:space="preserve">HISTÓRIA DA MEDIDA DA PRESSÃO ARTERIAL 100 ANOS DO ESFIGMOMANÔMETRO. </w:t>
      </w:r>
      <w:r w:rsidR="0073521D" w:rsidRPr="0021622B">
        <w:rPr>
          <w:rFonts w:asciiTheme="majorHAnsi" w:hAnsiTheme="majorHAnsi"/>
        </w:rPr>
        <w:t>Disponível em &lt;</w:t>
      </w:r>
      <w:r w:rsidRPr="0021622B">
        <w:rPr>
          <w:rFonts w:asciiTheme="majorHAnsi" w:hAnsiTheme="majorHAnsi"/>
        </w:rPr>
        <w:t>http://publicacoes.cardiol.br/caminhos/016</w:t>
      </w:r>
      <w:r w:rsidR="0073521D" w:rsidRPr="0021622B">
        <w:rPr>
          <w:rFonts w:asciiTheme="majorHAnsi" w:hAnsiTheme="majorHAnsi"/>
        </w:rPr>
        <w:t>&gt;.</w:t>
      </w:r>
      <w:r w:rsidRPr="0021622B">
        <w:rPr>
          <w:rFonts w:asciiTheme="majorHAnsi" w:hAnsiTheme="majorHAnsi"/>
        </w:rPr>
        <w:t xml:space="preserve"> </w:t>
      </w:r>
      <w:r w:rsidR="0073521D" w:rsidRPr="0021622B">
        <w:rPr>
          <w:rFonts w:asciiTheme="majorHAnsi" w:hAnsiTheme="majorHAnsi"/>
        </w:rPr>
        <w:t xml:space="preserve">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102D0CC6" w14:textId="5B7F1362" w:rsidR="00CA6EF9" w:rsidRPr="0021622B" w:rsidRDefault="00CA6EF9" w:rsidP="00B125DD">
      <w:pPr>
        <w:pStyle w:val="TEXTO-SIMPLES"/>
        <w:ind w:firstLine="0"/>
        <w:rPr>
          <w:rFonts w:asciiTheme="majorHAnsi" w:hAnsiTheme="majorHAnsi"/>
        </w:rPr>
      </w:pPr>
      <w:r w:rsidRPr="0021622B">
        <w:rPr>
          <w:rFonts w:asciiTheme="majorHAnsi" w:hAnsiTheme="majorHAnsi"/>
        </w:rPr>
        <w:lastRenderedPageBreak/>
        <w:t xml:space="preserve">INSTITUTO NACIONAL DE METROLOGIA, QUALIDADE E TECNOLOGIA </w:t>
      </w:r>
      <w:r w:rsidR="00777793" w:rsidRPr="0021622B">
        <w:rPr>
          <w:rFonts w:asciiTheme="majorHAnsi" w:hAnsiTheme="majorHAnsi"/>
        </w:rPr>
        <w:t>–</w:t>
      </w:r>
      <w:r w:rsidR="0073521D" w:rsidRPr="0021622B">
        <w:rPr>
          <w:rFonts w:asciiTheme="majorHAnsi" w:hAnsiTheme="majorHAnsi"/>
        </w:rPr>
        <w:t xml:space="preserve"> INMETRO</w:t>
      </w:r>
      <w:r w:rsidR="00777793" w:rsidRPr="0021622B">
        <w:rPr>
          <w:rFonts w:asciiTheme="majorHAnsi" w:hAnsiTheme="majorHAnsi"/>
        </w:rPr>
        <w:t xml:space="preserve">. </w:t>
      </w:r>
      <w:hyperlink r:id="rId29" w:history="1">
        <w:r w:rsidR="0073521D" w:rsidRPr="00B125DD">
          <w:t>Disponível</w:t>
        </w:r>
      </w:hyperlink>
      <w:r w:rsidR="0073521D" w:rsidRPr="0021622B">
        <w:rPr>
          <w:rFonts w:asciiTheme="majorHAnsi" w:hAnsiTheme="majorHAnsi"/>
        </w:rPr>
        <w:t xml:space="preserve"> em </w:t>
      </w:r>
      <w:r w:rsidRPr="0021622B">
        <w:rPr>
          <w:rFonts w:asciiTheme="majorHAnsi" w:hAnsiTheme="majorHAnsi"/>
        </w:rPr>
        <w:t xml:space="preserve"> </w:t>
      </w:r>
      <w:r w:rsidR="0073521D" w:rsidRPr="0021622B">
        <w:rPr>
          <w:rFonts w:asciiTheme="majorHAnsi" w:hAnsiTheme="majorHAnsi"/>
        </w:rPr>
        <w:t>&lt;</w:t>
      </w:r>
      <w:hyperlink w:history="1">
        <w:r w:rsidR="0073521D" w:rsidRPr="00B125DD">
          <w:t>http://www.inmetro.gov.br&gt;.</w:t>
        </w:r>
      </w:hyperlink>
      <w:r w:rsidR="0073521D" w:rsidRPr="0021622B">
        <w:rPr>
          <w:rFonts w:asciiTheme="majorHAnsi" w:hAnsiTheme="majorHAnsi"/>
        </w:rPr>
        <w:t xml:space="preserve"> 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2B4FAF0B" w14:textId="351782B9"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INTERNATIONAL ELECTROTECHNICAL COMMISSION (IEC). </w:t>
      </w:r>
      <w:r w:rsidR="0073521D" w:rsidRPr="0021622B">
        <w:rPr>
          <w:rFonts w:asciiTheme="majorHAnsi" w:hAnsiTheme="majorHAnsi"/>
        </w:rPr>
        <w:t>Disponível em &lt;</w:t>
      </w:r>
      <w:hyperlink w:history="1">
        <w:r w:rsidR="0073521D" w:rsidRPr="00B125DD">
          <w:t>http://iec.ch&gt;.</w:t>
        </w:r>
      </w:hyperlink>
      <w:r w:rsidR="0073521D" w:rsidRPr="0021622B">
        <w:rPr>
          <w:rFonts w:asciiTheme="majorHAnsi" w:hAnsiTheme="majorHAnsi"/>
        </w:rPr>
        <w:t xml:space="preserve"> Acesso em 01 </w:t>
      </w:r>
      <w:proofErr w:type="gramStart"/>
      <w:r w:rsidR="0073521D" w:rsidRPr="0021622B">
        <w:rPr>
          <w:rFonts w:asciiTheme="majorHAnsi" w:hAnsiTheme="majorHAnsi"/>
        </w:rPr>
        <w:t>Abr.</w:t>
      </w:r>
      <w:proofErr w:type="gramEnd"/>
      <w:r w:rsidR="0073521D" w:rsidRPr="0021622B">
        <w:rPr>
          <w:rFonts w:asciiTheme="majorHAnsi" w:hAnsiTheme="majorHAnsi"/>
        </w:rPr>
        <w:t xml:space="preserve"> 2017.</w:t>
      </w:r>
    </w:p>
    <w:p w14:paraId="2AFB0BCB" w14:textId="2029427B" w:rsidR="00CA6EF9" w:rsidRPr="001A0BF3" w:rsidRDefault="00CA6EF9" w:rsidP="00B125DD">
      <w:pPr>
        <w:pStyle w:val="TEXTO-SIMPLES"/>
        <w:ind w:firstLine="0"/>
        <w:rPr>
          <w:rFonts w:asciiTheme="majorHAnsi" w:hAnsiTheme="majorHAnsi"/>
          <w:lang w:val="en-US"/>
        </w:rPr>
      </w:pPr>
      <w:r w:rsidRPr="001A0BF3">
        <w:rPr>
          <w:rFonts w:asciiTheme="majorHAnsi" w:hAnsiTheme="majorHAnsi"/>
          <w:lang w:val="en-US"/>
        </w:rPr>
        <w:t xml:space="preserve">INTERNATIONAL ORGANIZATION FOR STANDARDIZATION (ISO). </w:t>
      </w:r>
      <w:r w:rsidR="0073521D" w:rsidRPr="0021622B">
        <w:rPr>
          <w:rFonts w:asciiTheme="majorHAnsi" w:hAnsiTheme="majorHAnsi"/>
        </w:rPr>
        <w:t xml:space="preserve">Disponível </w:t>
      </w:r>
      <w:proofErr w:type="gramStart"/>
      <w:r w:rsidR="0073521D" w:rsidRPr="0021622B">
        <w:rPr>
          <w:rFonts w:asciiTheme="majorHAnsi" w:hAnsiTheme="majorHAnsi"/>
        </w:rPr>
        <w:t xml:space="preserve">em </w:t>
      </w:r>
      <w:r w:rsidRPr="0021622B">
        <w:rPr>
          <w:rFonts w:asciiTheme="majorHAnsi" w:hAnsiTheme="majorHAnsi"/>
        </w:rPr>
        <w:t xml:space="preserve"> </w:t>
      </w:r>
      <w:r w:rsidR="0073521D" w:rsidRPr="0021622B">
        <w:rPr>
          <w:rFonts w:asciiTheme="majorHAnsi" w:hAnsiTheme="majorHAnsi"/>
        </w:rPr>
        <w:t>&lt;</w:t>
      </w:r>
      <w:proofErr w:type="gramEnd"/>
      <w:r w:rsidR="0052160A">
        <w:fldChar w:fldCharType="begin"/>
      </w:r>
      <w:r w:rsidR="0052160A">
        <w:instrText xml:space="preserve"> HYPERLINK </w:instrText>
      </w:r>
      <w:r w:rsidR="0052160A">
        <w:fldChar w:fldCharType="separate"/>
      </w:r>
      <w:r w:rsidR="0073521D" w:rsidRPr="00B125DD">
        <w:t>http://iso.ch&gt;.</w:t>
      </w:r>
      <w:r w:rsidR="0052160A">
        <w:fldChar w:fldCharType="end"/>
      </w:r>
      <w:r w:rsidR="0073521D" w:rsidRPr="0021622B">
        <w:rPr>
          <w:rFonts w:asciiTheme="majorHAnsi" w:hAnsiTheme="majorHAnsi"/>
        </w:rPr>
        <w:t xml:space="preserve"> </w:t>
      </w:r>
      <w:proofErr w:type="spellStart"/>
      <w:r w:rsidR="0073521D" w:rsidRPr="001A0BF3">
        <w:rPr>
          <w:rFonts w:asciiTheme="majorHAnsi" w:hAnsiTheme="majorHAnsi"/>
          <w:lang w:val="en-US"/>
        </w:rPr>
        <w:t>Acesso</w:t>
      </w:r>
      <w:proofErr w:type="spellEnd"/>
      <w:r w:rsidR="0073521D" w:rsidRPr="001A0BF3">
        <w:rPr>
          <w:rFonts w:asciiTheme="majorHAnsi" w:hAnsiTheme="majorHAnsi"/>
          <w:lang w:val="en-US"/>
        </w:rPr>
        <w:t xml:space="preserve"> em 01 Abr. 2017.</w:t>
      </w:r>
    </w:p>
    <w:p w14:paraId="181DB71F" w14:textId="77777777" w:rsidR="00777793" w:rsidRPr="0021622B" w:rsidRDefault="00CA6EF9" w:rsidP="00B125DD">
      <w:pPr>
        <w:pStyle w:val="TEXTO-SIMPLES"/>
        <w:ind w:firstLine="0"/>
        <w:rPr>
          <w:rFonts w:asciiTheme="majorHAnsi" w:hAnsiTheme="majorHAnsi"/>
        </w:rPr>
      </w:pPr>
      <w:r w:rsidRPr="00785469">
        <w:rPr>
          <w:rFonts w:asciiTheme="majorHAnsi" w:hAnsiTheme="majorHAnsi"/>
          <w:lang w:val="en-US"/>
        </w:rPr>
        <w:t xml:space="preserve">LAWRENCE LIVERMORE NATIONAL LABORATORY, UNIVERSITY OF CALIFORNIA. </w:t>
      </w:r>
      <w:r w:rsidR="0073521D" w:rsidRPr="0021622B">
        <w:rPr>
          <w:rFonts w:asciiTheme="majorHAnsi" w:hAnsiTheme="majorHAnsi"/>
        </w:rPr>
        <w:t xml:space="preserve">Disponível </w:t>
      </w:r>
      <w:proofErr w:type="gramStart"/>
      <w:r w:rsidR="0073521D" w:rsidRPr="0021622B">
        <w:rPr>
          <w:rFonts w:asciiTheme="majorHAnsi" w:hAnsiTheme="majorHAnsi"/>
        </w:rPr>
        <w:t xml:space="preserve">em </w:t>
      </w:r>
      <w:r w:rsidRPr="0021622B">
        <w:rPr>
          <w:rFonts w:asciiTheme="majorHAnsi" w:hAnsiTheme="majorHAnsi"/>
        </w:rPr>
        <w:t xml:space="preserve"> </w:t>
      </w:r>
      <w:r w:rsidR="0073521D" w:rsidRPr="0021622B">
        <w:rPr>
          <w:rFonts w:asciiTheme="majorHAnsi" w:hAnsiTheme="majorHAnsi"/>
        </w:rPr>
        <w:t>&lt;</w:t>
      </w:r>
      <w:proofErr w:type="gramEnd"/>
      <w:r w:rsidR="0052160A">
        <w:fldChar w:fldCharType="begin"/>
      </w:r>
      <w:r w:rsidR="0052160A">
        <w:instrText xml:space="preserve"> HYPERLINK "http://ehs.unc.edu/manuals/ehsmanual%3e." </w:instrText>
      </w:r>
      <w:r w:rsidR="0052160A">
        <w:fldChar w:fldCharType="separate"/>
      </w:r>
      <w:r w:rsidR="009C6527" w:rsidRPr="00B125DD">
        <w:t>http://ehs.unc.edu/manuals/ehsmanual&gt;.</w:t>
      </w:r>
      <w:r w:rsidR="0052160A">
        <w:fldChar w:fldCharType="end"/>
      </w:r>
      <w:r w:rsidR="009C6527" w:rsidRPr="00B125DD">
        <w:t xml:space="preserve"> </w:t>
      </w:r>
      <w:r w:rsidR="009C6527" w:rsidRPr="0021622B">
        <w:rPr>
          <w:rFonts w:asciiTheme="majorHAnsi" w:hAnsiTheme="majorHAnsi"/>
        </w:rPr>
        <w:t xml:space="preserve">Acesso em 01 </w:t>
      </w:r>
      <w:proofErr w:type="gramStart"/>
      <w:r w:rsidR="009C6527" w:rsidRPr="0021622B">
        <w:rPr>
          <w:rFonts w:asciiTheme="majorHAnsi" w:hAnsiTheme="majorHAnsi"/>
        </w:rPr>
        <w:t>Abr.</w:t>
      </w:r>
      <w:proofErr w:type="gramEnd"/>
      <w:r w:rsidR="009C6527" w:rsidRPr="0021622B">
        <w:rPr>
          <w:rFonts w:asciiTheme="majorHAnsi" w:hAnsiTheme="majorHAnsi"/>
        </w:rPr>
        <w:t xml:space="preserve"> 2017.</w:t>
      </w:r>
      <w:r w:rsidR="0073521D" w:rsidRPr="0021622B">
        <w:rPr>
          <w:rFonts w:asciiTheme="majorHAnsi" w:hAnsiTheme="majorHAnsi"/>
        </w:rPr>
        <w:t xml:space="preserve"> </w:t>
      </w:r>
    </w:p>
    <w:p w14:paraId="2FAD732D" w14:textId="61FED12A" w:rsidR="00CA6EF9" w:rsidRPr="0021622B" w:rsidRDefault="00CA6EF9" w:rsidP="00B125DD">
      <w:pPr>
        <w:pStyle w:val="TEXTO-SIMPLES"/>
        <w:ind w:firstLine="0"/>
        <w:rPr>
          <w:rFonts w:asciiTheme="majorHAnsi" w:hAnsiTheme="majorHAnsi"/>
        </w:rPr>
      </w:pPr>
      <w:r w:rsidRPr="0021622B">
        <w:rPr>
          <w:rFonts w:asciiTheme="majorHAnsi" w:hAnsiTheme="majorHAnsi"/>
        </w:rPr>
        <w:t xml:space="preserve">MÚSCULO CARDÍACO. </w:t>
      </w:r>
      <w:r w:rsidR="009C6527" w:rsidRPr="0021622B">
        <w:rPr>
          <w:rFonts w:asciiTheme="majorHAnsi" w:hAnsiTheme="majorHAnsi"/>
        </w:rPr>
        <w:t>Disponível em &lt;</w:t>
      </w:r>
      <w:r w:rsidRPr="0021622B">
        <w:rPr>
          <w:rFonts w:asciiTheme="majorHAnsi" w:hAnsiTheme="majorHAnsi"/>
        </w:rPr>
        <w:t>https://pt.wikipedia.org/wiki/Músculo_cardíaco</w:t>
      </w:r>
      <w:r w:rsidR="009C6527" w:rsidRPr="0021622B">
        <w:rPr>
          <w:rFonts w:asciiTheme="majorHAnsi" w:hAnsiTheme="majorHAnsi"/>
        </w:rPr>
        <w:t>&gt;.</w:t>
      </w:r>
      <w:r w:rsidRPr="0021622B">
        <w:rPr>
          <w:rFonts w:asciiTheme="majorHAnsi" w:hAnsiTheme="majorHAnsi"/>
        </w:rPr>
        <w:t xml:space="preserve"> </w:t>
      </w:r>
      <w:r w:rsidR="009C6527" w:rsidRPr="0021622B">
        <w:rPr>
          <w:rFonts w:asciiTheme="majorHAnsi" w:hAnsiTheme="majorHAnsi"/>
        </w:rPr>
        <w:t xml:space="preserve">Acesso em 01 </w:t>
      </w:r>
      <w:proofErr w:type="gramStart"/>
      <w:r w:rsidR="009C6527" w:rsidRPr="0021622B">
        <w:rPr>
          <w:rFonts w:asciiTheme="majorHAnsi" w:hAnsiTheme="majorHAnsi"/>
        </w:rPr>
        <w:t>Abr.</w:t>
      </w:r>
      <w:proofErr w:type="gramEnd"/>
      <w:r w:rsidR="009C6527" w:rsidRPr="0021622B">
        <w:rPr>
          <w:rFonts w:asciiTheme="majorHAnsi" w:hAnsiTheme="majorHAnsi"/>
        </w:rPr>
        <w:t xml:space="preserve"> 2017.</w:t>
      </w:r>
    </w:p>
    <w:sectPr w:rsidR="00CA6EF9" w:rsidRPr="0021622B" w:rsidSect="002D5F37">
      <w:headerReference w:type="default" r:id="rId30"/>
      <w:pgSz w:w="11906" w:h="16838"/>
      <w:pgMar w:top="1134" w:right="1134" w:bottom="1134" w:left="1418" w:header="709" w:footer="134" w:gutter="0"/>
      <w:pgNumType w:chapSep="em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FA6123" w14:textId="77777777" w:rsidR="0052160A" w:rsidRDefault="0052160A" w:rsidP="0078468E">
      <w:pPr>
        <w:spacing w:after="0" w:line="240" w:lineRule="auto"/>
      </w:pPr>
      <w:r>
        <w:separator/>
      </w:r>
    </w:p>
    <w:p w14:paraId="2F6D7314" w14:textId="77777777" w:rsidR="0052160A" w:rsidRDefault="0052160A"/>
  </w:endnote>
  <w:endnote w:type="continuationSeparator" w:id="0">
    <w:p w14:paraId="1E27884A" w14:textId="77777777" w:rsidR="0052160A" w:rsidRDefault="0052160A" w:rsidP="0078468E">
      <w:pPr>
        <w:spacing w:after="0" w:line="240" w:lineRule="auto"/>
      </w:pPr>
      <w:r>
        <w:continuationSeparator/>
      </w:r>
    </w:p>
    <w:p w14:paraId="6DA44743" w14:textId="77777777" w:rsidR="0052160A" w:rsidRDefault="005216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47287104"/>
      <w:docPartObj>
        <w:docPartGallery w:val="Page Numbers (Bottom of Page)"/>
        <w:docPartUnique/>
      </w:docPartObj>
    </w:sdtPr>
    <w:sdtEndPr/>
    <w:sdtContent>
      <w:p w14:paraId="2FB60612" w14:textId="116906D6" w:rsidR="002D5F37" w:rsidRDefault="002D5F37">
        <w:pPr>
          <w:pStyle w:val="Rodap"/>
          <w:jc w:val="right"/>
        </w:pPr>
        <w:r>
          <w:fldChar w:fldCharType="begin"/>
        </w:r>
        <w:r>
          <w:instrText>PAGE   \* MERGEFORMAT</w:instrText>
        </w:r>
        <w:r>
          <w:fldChar w:fldCharType="separate"/>
        </w:r>
        <w:r w:rsidR="00DA3A7D">
          <w:rPr>
            <w:noProof/>
          </w:rPr>
          <w:t>28</w:t>
        </w:r>
        <w:r>
          <w:fldChar w:fldCharType="end"/>
        </w:r>
      </w:p>
    </w:sdtContent>
  </w:sdt>
  <w:p w14:paraId="6515F8DC" w14:textId="77777777" w:rsidR="002D5F37" w:rsidRDefault="002D5F3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F82D08" w14:textId="77777777" w:rsidR="0052160A" w:rsidRDefault="0052160A" w:rsidP="0078468E">
      <w:pPr>
        <w:spacing w:after="0" w:line="240" w:lineRule="auto"/>
      </w:pPr>
      <w:r>
        <w:separator/>
      </w:r>
    </w:p>
    <w:p w14:paraId="75E4563B" w14:textId="77777777" w:rsidR="0052160A" w:rsidRDefault="0052160A"/>
  </w:footnote>
  <w:footnote w:type="continuationSeparator" w:id="0">
    <w:p w14:paraId="7ED7D38B" w14:textId="77777777" w:rsidR="0052160A" w:rsidRDefault="0052160A" w:rsidP="0078468E">
      <w:pPr>
        <w:spacing w:after="0" w:line="240" w:lineRule="auto"/>
      </w:pPr>
      <w:r>
        <w:continuationSeparator/>
      </w:r>
    </w:p>
    <w:p w14:paraId="38DB763B" w14:textId="77777777" w:rsidR="0052160A" w:rsidRDefault="0052160A"/>
  </w:footnote>
  <w:footnote w:id="1">
    <w:p w14:paraId="420620B3" w14:textId="70B75F1E" w:rsidR="00EB1DB7" w:rsidRPr="00EB1DB7" w:rsidRDefault="00EB1DB7" w:rsidP="00EB1DB7">
      <w:pPr>
        <w:spacing w:line="360" w:lineRule="auto"/>
        <w:jc w:val="both"/>
        <w:rPr>
          <w:rFonts w:asciiTheme="majorHAnsi" w:hAnsiTheme="majorHAnsi"/>
          <w:sz w:val="18"/>
          <w:szCs w:val="18"/>
        </w:rPr>
      </w:pPr>
      <w:r w:rsidRPr="00EB1DB7">
        <w:rPr>
          <w:rStyle w:val="Refdenotaderodap"/>
          <w:rFonts w:asciiTheme="majorHAnsi" w:hAnsiTheme="majorHAnsi"/>
          <w:sz w:val="18"/>
          <w:szCs w:val="18"/>
        </w:rPr>
        <w:footnoteRef/>
      </w:r>
      <w:r w:rsidRPr="00EB1DB7">
        <w:rPr>
          <w:rFonts w:asciiTheme="majorHAnsi" w:hAnsiTheme="majorHAnsi"/>
          <w:sz w:val="18"/>
          <w:szCs w:val="18"/>
        </w:rPr>
        <w:t xml:space="preserve"> </w:t>
      </w:r>
      <w:r w:rsidRPr="00EB1DB7">
        <w:rPr>
          <w:rFonts w:asciiTheme="majorHAnsi" w:hAnsiTheme="majorHAnsi" w:cs="Arial"/>
          <w:sz w:val="18"/>
          <w:szCs w:val="18"/>
        </w:rPr>
        <w:t xml:space="preserve">ICRP, “Comissão Internacional de Proteção Radiológica” - ver ICRP, 1991. </w:t>
      </w:r>
      <w:r w:rsidRPr="00EB1DB7">
        <w:rPr>
          <w:rFonts w:asciiTheme="majorHAnsi" w:hAnsiTheme="majorHAnsi" w:cs="Arial"/>
          <w:sz w:val="18"/>
          <w:szCs w:val="18"/>
          <w:lang w:val="en-GB"/>
        </w:rPr>
        <w:t xml:space="preserve">1990 Recommendations of the International Commission on Radiological Protection. ICRP Publication </w:t>
      </w:r>
      <w:r w:rsidRPr="00EB1DB7">
        <w:rPr>
          <w:rFonts w:asciiTheme="majorHAnsi" w:hAnsiTheme="majorHAnsi" w:cs="Arial"/>
          <w:sz w:val="18"/>
          <w:szCs w:val="18"/>
          <w:lang w:val="en-US"/>
        </w:rPr>
        <w:t xml:space="preserve">(1-3). </w:t>
      </w:r>
      <w:r w:rsidRPr="00EB1DB7">
        <w:rPr>
          <w:rFonts w:asciiTheme="majorHAnsi" w:hAnsiTheme="majorHAnsi" w:cs="Arial"/>
          <w:sz w:val="18"/>
          <w:szCs w:val="18"/>
        </w:rPr>
        <w:t>Disponível em &lt;</w:t>
      </w:r>
      <w:hyperlink r:id="rId1" w:history="1">
        <w:r w:rsidRPr="00EB1DB7">
          <w:rPr>
            <w:rStyle w:val="Hyperlink"/>
            <w:rFonts w:asciiTheme="majorHAnsi" w:hAnsiTheme="majorHAnsi" w:cs="Arial"/>
            <w:sz w:val="18"/>
            <w:szCs w:val="18"/>
          </w:rPr>
          <w:t>http://www.icrp.org/publication.asp?id=icrp%20publication%2060</w:t>
        </w:r>
      </w:hyperlink>
      <w:r w:rsidRPr="00EB1DB7">
        <w:rPr>
          <w:rStyle w:val="Hyperlink"/>
          <w:rFonts w:asciiTheme="majorHAnsi" w:hAnsiTheme="majorHAnsi" w:cs="Arial"/>
          <w:sz w:val="18"/>
          <w:szCs w:val="18"/>
        </w:rPr>
        <w:t>&gt;</w:t>
      </w:r>
      <w:r w:rsidRPr="00EB1DB7">
        <w:rPr>
          <w:rStyle w:val="Refdenotaderodap"/>
          <w:rFonts w:asciiTheme="majorHAnsi" w:hAnsiTheme="majorHAnsi" w:cs="Arial"/>
          <w:sz w:val="18"/>
          <w:szCs w:val="18"/>
        </w:rPr>
        <w:footnoteRef/>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0C3970" w14:textId="77D4F0DF" w:rsidR="002E3DB7" w:rsidRDefault="00F00D1A">
    <w:pPr>
      <w:pStyle w:val="Cabealho"/>
    </w:pPr>
    <w:r>
      <w:rPr>
        <w:noProof/>
        <w:lang w:eastAsia="pt-BR"/>
      </w:rPr>
      <w:drawing>
        <wp:anchor distT="0" distB="0" distL="114300" distR="114300" simplePos="0" relativeHeight="251665408" behindDoc="0" locked="0" layoutInCell="1" allowOverlap="1" wp14:anchorId="3AB644EB" wp14:editId="223EFA5A">
          <wp:simplePos x="0" y="0"/>
          <wp:positionH relativeFrom="column">
            <wp:posOffset>-123190</wp:posOffset>
          </wp:positionH>
          <wp:positionV relativeFrom="paragraph">
            <wp:posOffset>-145415</wp:posOffset>
          </wp:positionV>
          <wp:extent cx="5939790" cy="285750"/>
          <wp:effectExtent l="0" t="0" r="3810" b="0"/>
          <wp:wrapSquare wrapText="bothSides"/>
          <wp:docPr id="3" name="Imagem 3" descr="http://entib.org.br/entib/imagens/rotuloSUPCursos_ENTIB_60601_A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entib.org.br/entib/imagens/rotuloSUPCursos_ENTIB_60601_A03.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39790"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00E06BCC" w:rsidRPr="00C802E4">
      <w:rPr>
        <w:noProof/>
        <w:lang w:eastAsia="pt-BR"/>
      </w:rPr>
      <w:drawing>
        <wp:anchor distT="0" distB="0" distL="114300" distR="114300" simplePos="0" relativeHeight="251664384" behindDoc="1" locked="0" layoutInCell="1" allowOverlap="1" wp14:anchorId="2E780720" wp14:editId="3F29A182">
          <wp:simplePos x="0" y="0"/>
          <wp:positionH relativeFrom="page">
            <wp:align>left</wp:align>
          </wp:positionH>
          <wp:positionV relativeFrom="paragraph">
            <wp:posOffset>-391160</wp:posOffset>
          </wp:positionV>
          <wp:extent cx="7543731" cy="10668000"/>
          <wp:effectExtent l="0" t="0" r="635" b="0"/>
          <wp:wrapNone/>
          <wp:docPr id="1" name="Imagem 1" descr="C:\Users\Aline\Desktop\Entib - Folha de rosto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ne\Desktop\Entib - Folha de rosto .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43731" cy="10668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B63F5B"/>
    <w:multiLevelType w:val="hybridMultilevel"/>
    <w:tmpl w:val="55529BF6"/>
    <w:lvl w:ilvl="0" w:tplc="146A81AE">
      <w:start w:val="1"/>
      <w:numFmt w:val="decimal"/>
      <w:pStyle w:val="EQUAO"/>
      <w:lvlText w:val="(%1)"/>
      <w:lvlJc w:val="right"/>
      <w:pPr>
        <w:ind w:left="1287"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233D174C"/>
    <w:multiLevelType w:val="hybridMultilevel"/>
    <w:tmpl w:val="68B688B2"/>
    <w:lvl w:ilvl="0" w:tplc="8898C50E">
      <w:start w:val="1"/>
      <w:numFmt w:val="decimal"/>
      <w:pStyle w:val="FIGURA"/>
      <w:lvlText w:val="Figura %1."/>
      <w:lvlJc w:val="center"/>
      <w:pPr>
        <w:ind w:left="644" w:hanging="360"/>
      </w:pPr>
      <w:rPr>
        <w:rFonts w:ascii="Arial" w:hAnsi="Arial" w:hint="default"/>
        <w:b/>
        <w:i w:val="0"/>
        <w:sz w:val="24"/>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365A6278"/>
    <w:multiLevelType w:val="hybridMultilevel"/>
    <w:tmpl w:val="409615B4"/>
    <w:lvl w:ilvl="0" w:tplc="CD62CE20">
      <w:start w:val="1"/>
      <w:numFmt w:val="decimal"/>
      <w:pStyle w:val="CAPTULO"/>
      <w:lvlText w:val="CAPÍTULO %1."/>
      <w:lvlJc w:val="left"/>
      <w:pPr>
        <w:ind w:left="720" w:hanging="360"/>
      </w:pPr>
      <w:rPr>
        <w:rFonts w:ascii="Arial" w:hAnsi="Arial" w:hint="default"/>
        <w:b/>
        <w:i w:val="0"/>
        <w:sz w:val="3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389C7270"/>
    <w:multiLevelType w:val="hybridMultilevel"/>
    <w:tmpl w:val="FFB8C0D6"/>
    <w:lvl w:ilvl="0" w:tplc="04160001">
      <w:start w:val="1"/>
      <w:numFmt w:val="bullet"/>
      <w:lvlText w:val=""/>
      <w:lvlJc w:val="left"/>
      <w:pPr>
        <w:ind w:left="1284" w:hanging="360"/>
      </w:pPr>
      <w:rPr>
        <w:rFonts w:ascii="Symbol" w:hAnsi="Symbol" w:hint="default"/>
      </w:rPr>
    </w:lvl>
    <w:lvl w:ilvl="1" w:tplc="04160003">
      <w:start w:val="1"/>
      <w:numFmt w:val="bullet"/>
      <w:lvlText w:val="o"/>
      <w:lvlJc w:val="left"/>
      <w:pPr>
        <w:ind w:left="2004" w:hanging="360"/>
      </w:pPr>
      <w:rPr>
        <w:rFonts w:ascii="Courier New" w:hAnsi="Courier New" w:cs="Courier New" w:hint="default"/>
      </w:rPr>
    </w:lvl>
    <w:lvl w:ilvl="2" w:tplc="04160005" w:tentative="1">
      <w:start w:val="1"/>
      <w:numFmt w:val="bullet"/>
      <w:lvlText w:val=""/>
      <w:lvlJc w:val="left"/>
      <w:pPr>
        <w:ind w:left="2724" w:hanging="360"/>
      </w:pPr>
      <w:rPr>
        <w:rFonts w:ascii="Wingdings" w:hAnsi="Wingdings" w:hint="default"/>
      </w:rPr>
    </w:lvl>
    <w:lvl w:ilvl="3" w:tplc="04160001" w:tentative="1">
      <w:start w:val="1"/>
      <w:numFmt w:val="bullet"/>
      <w:lvlText w:val=""/>
      <w:lvlJc w:val="left"/>
      <w:pPr>
        <w:ind w:left="3444" w:hanging="360"/>
      </w:pPr>
      <w:rPr>
        <w:rFonts w:ascii="Symbol" w:hAnsi="Symbol" w:hint="default"/>
      </w:rPr>
    </w:lvl>
    <w:lvl w:ilvl="4" w:tplc="04160003" w:tentative="1">
      <w:start w:val="1"/>
      <w:numFmt w:val="bullet"/>
      <w:lvlText w:val="o"/>
      <w:lvlJc w:val="left"/>
      <w:pPr>
        <w:ind w:left="4164" w:hanging="360"/>
      </w:pPr>
      <w:rPr>
        <w:rFonts w:ascii="Courier New" w:hAnsi="Courier New" w:cs="Courier New" w:hint="default"/>
      </w:rPr>
    </w:lvl>
    <w:lvl w:ilvl="5" w:tplc="04160005" w:tentative="1">
      <w:start w:val="1"/>
      <w:numFmt w:val="bullet"/>
      <w:lvlText w:val=""/>
      <w:lvlJc w:val="left"/>
      <w:pPr>
        <w:ind w:left="4884" w:hanging="360"/>
      </w:pPr>
      <w:rPr>
        <w:rFonts w:ascii="Wingdings" w:hAnsi="Wingdings" w:hint="default"/>
      </w:rPr>
    </w:lvl>
    <w:lvl w:ilvl="6" w:tplc="04160001" w:tentative="1">
      <w:start w:val="1"/>
      <w:numFmt w:val="bullet"/>
      <w:lvlText w:val=""/>
      <w:lvlJc w:val="left"/>
      <w:pPr>
        <w:ind w:left="5604" w:hanging="360"/>
      </w:pPr>
      <w:rPr>
        <w:rFonts w:ascii="Symbol" w:hAnsi="Symbol" w:hint="default"/>
      </w:rPr>
    </w:lvl>
    <w:lvl w:ilvl="7" w:tplc="04160003" w:tentative="1">
      <w:start w:val="1"/>
      <w:numFmt w:val="bullet"/>
      <w:lvlText w:val="o"/>
      <w:lvlJc w:val="left"/>
      <w:pPr>
        <w:ind w:left="6324" w:hanging="360"/>
      </w:pPr>
      <w:rPr>
        <w:rFonts w:ascii="Courier New" w:hAnsi="Courier New" w:cs="Courier New" w:hint="default"/>
      </w:rPr>
    </w:lvl>
    <w:lvl w:ilvl="8" w:tplc="04160005" w:tentative="1">
      <w:start w:val="1"/>
      <w:numFmt w:val="bullet"/>
      <w:lvlText w:val=""/>
      <w:lvlJc w:val="left"/>
      <w:pPr>
        <w:ind w:left="7044" w:hanging="360"/>
      </w:pPr>
      <w:rPr>
        <w:rFonts w:ascii="Wingdings" w:hAnsi="Wingdings" w:hint="default"/>
      </w:rPr>
    </w:lvl>
  </w:abstractNum>
  <w:abstractNum w:abstractNumId="4" w15:restartNumberingAfterBreak="0">
    <w:nsid w:val="4C0221D8"/>
    <w:multiLevelType w:val="hybridMultilevel"/>
    <w:tmpl w:val="B93CBE8C"/>
    <w:lvl w:ilvl="0" w:tplc="A1DE741E">
      <w:start w:val="1"/>
      <w:numFmt w:val="decimal"/>
      <w:pStyle w:val="TABELA"/>
      <w:lvlText w:val="Tabela %1."/>
      <w:lvlJc w:val="center"/>
      <w:pPr>
        <w:ind w:left="720" w:hanging="360"/>
      </w:pPr>
      <w:rPr>
        <w:rFonts w:ascii="Arial" w:hAnsi="Arial" w:hint="default"/>
        <w:b/>
        <w:i w:val="0"/>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53425A46"/>
    <w:multiLevelType w:val="hybridMultilevel"/>
    <w:tmpl w:val="83FCC85A"/>
    <w:lvl w:ilvl="0" w:tplc="5664993A">
      <w:start w:val="1"/>
      <w:numFmt w:val="decimal"/>
      <w:pStyle w:val="EXERCCIOS"/>
      <w:lvlText w:val="Exercício %1."/>
      <w:lvlJc w:val="left"/>
      <w:pPr>
        <w:ind w:left="927" w:hanging="360"/>
      </w:pPr>
      <w:rPr>
        <w:rFonts w:hint="default"/>
        <w:b/>
        <w:i w:val="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6" w15:restartNumberingAfterBreak="0">
    <w:nsid w:val="69B21233"/>
    <w:multiLevelType w:val="multilevel"/>
    <w:tmpl w:val="BA20E296"/>
    <w:lvl w:ilvl="0">
      <w:start w:val="1"/>
      <w:numFmt w:val="decimal"/>
      <w:pStyle w:val="SUB-TTULO1"/>
      <w:lvlText w:val="%1"/>
      <w:lvlJc w:val="left"/>
      <w:pPr>
        <w:ind w:left="450" w:hanging="450"/>
      </w:pPr>
      <w:rPr>
        <w:rFonts w:hint="default"/>
        <w:color w:val="0066B2"/>
      </w:rPr>
    </w:lvl>
    <w:lvl w:ilvl="1">
      <w:start w:val="1"/>
      <w:numFmt w:val="decimal"/>
      <w:pStyle w:val="SUB-TTULO2"/>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400" w:hanging="2520"/>
      </w:pPr>
      <w:rPr>
        <w:rFonts w:hint="default"/>
      </w:rPr>
    </w:lvl>
  </w:abstractNum>
  <w:abstractNum w:abstractNumId="7" w15:restartNumberingAfterBreak="0">
    <w:nsid w:val="783677FD"/>
    <w:multiLevelType w:val="hybridMultilevel"/>
    <w:tmpl w:val="D2128A42"/>
    <w:lvl w:ilvl="0" w:tplc="04160001">
      <w:start w:val="1"/>
      <w:numFmt w:val="bullet"/>
      <w:lvlText w:val=""/>
      <w:lvlJc w:val="left"/>
      <w:pPr>
        <w:ind w:left="1287" w:hanging="360"/>
      </w:pPr>
      <w:rPr>
        <w:rFonts w:ascii="Symbol" w:hAnsi="Symbol" w:hint="default"/>
      </w:rPr>
    </w:lvl>
    <w:lvl w:ilvl="1" w:tplc="04160003" w:tentative="1">
      <w:start w:val="1"/>
      <w:numFmt w:val="bullet"/>
      <w:lvlText w:val="o"/>
      <w:lvlJc w:val="left"/>
      <w:pPr>
        <w:ind w:left="2007" w:hanging="360"/>
      </w:pPr>
      <w:rPr>
        <w:rFonts w:ascii="Courier New" w:hAnsi="Courier New" w:cs="Courier New" w:hint="default"/>
      </w:rPr>
    </w:lvl>
    <w:lvl w:ilvl="2" w:tplc="04160005" w:tentative="1">
      <w:start w:val="1"/>
      <w:numFmt w:val="bullet"/>
      <w:lvlText w:val=""/>
      <w:lvlJc w:val="left"/>
      <w:pPr>
        <w:ind w:left="2727" w:hanging="360"/>
      </w:pPr>
      <w:rPr>
        <w:rFonts w:ascii="Wingdings" w:hAnsi="Wingdings" w:hint="default"/>
      </w:rPr>
    </w:lvl>
    <w:lvl w:ilvl="3" w:tplc="04160001" w:tentative="1">
      <w:start w:val="1"/>
      <w:numFmt w:val="bullet"/>
      <w:lvlText w:val=""/>
      <w:lvlJc w:val="left"/>
      <w:pPr>
        <w:ind w:left="3447" w:hanging="360"/>
      </w:pPr>
      <w:rPr>
        <w:rFonts w:ascii="Symbol" w:hAnsi="Symbol" w:hint="default"/>
      </w:rPr>
    </w:lvl>
    <w:lvl w:ilvl="4" w:tplc="04160003" w:tentative="1">
      <w:start w:val="1"/>
      <w:numFmt w:val="bullet"/>
      <w:lvlText w:val="o"/>
      <w:lvlJc w:val="left"/>
      <w:pPr>
        <w:ind w:left="4167" w:hanging="360"/>
      </w:pPr>
      <w:rPr>
        <w:rFonts w:ascii="Courier New" w:hAnsi="Courier New" w:cs="Courier New" w:hint="default"/>
      </w:rPr>
    </w:lvl>
    <w:lvl w:ilvl="5" w:tplc="04160005" w:tentative="1">
      <w:start w:val="1"/>
      <w:numFmt w:val="bullet"/>
      <w:lvlText w:val=""/>
      <w:lvlJc w:val="left"/>
      <w:pPr>
        <w:ind w:left="4887" w:hanging="360"/>
      </w:pPr>
      <w:rPr>
        <w:rFonts w:ascii="Wingdings" w:hAnsi="Wingdings" w:hint="default"/>
      </w:rPr>
    </w:lvl>
    <w:lvl w:ilvl="6" w:tplc="04160001" w:tentative="1">
      <w:start w:val="1"/>
      <w:numFmt w:val="bullet"/>
      <w:lvlText w:val=""/>
      <w:lvlJc w:val="left"/>
      <w:pPr>
        <w:ind w:left="5607" w:hanging="360"/>
      </w:pPr>
      <w:rPr>
        <w:rFonts w:ascii="Symbol" w:hAnsi="Symbol" w:hint="default"/>
      </w:rPr>
    </w:lvl>
    <w:lvl w:ilvl="7" w:tplc="04160003" w:tentative="1">
      <w:start w:val="1"/>
      <w:numFmt w:val="bullet"/>
      <w:lvlText w:val="o"/>
      <w:lvlJc w:val="left"/>
      <w:pPr>
        <w:ind w:left="6327" w:hanging="360"/>
      </w:pPr>
      <w:rPr>
        <w:rFonts w:ascii="Courier New" w:hAnsi="Courier New" w:cs="Courier New" w:hint="default"/>
      </w:rPr>
    </w:lvl>
    <w:lvl w:ilvl="8" w:tplc="04160005" w:tentative="1">
      <w:start w:val="1"/>
      <w:numFmt w:val="bullet"/>
      <w:lvlText w:val=""/>
      <w:lvlJc w:val="left"/>
      <w:pPr>
        <w:ind w:left="7047" w:hanging="360"/>
      </w:pPr>
      <w:rPr>
        <w:rFonts w:ascii="Wingdings" w:hAnsi="Wingdings" w:hint="default"/>
      </w:rPr>
    </w:lvl>
  </w:abstractNum>
  <w:num w:numId="1">
    <w:abstractNumId w:val="1"/>
  </w:num>
  <w:num w:numId="2">
    <w:abstractNumId w:val="6"/>
  </w:num>
  <w:num w:numId="3">
    <w:abstractNumId w:val="4"/>
  </w:num>
  <w:num w:numId="4">
    <w:abstractNumId w:val="3"/>
  </w:num>
  <w:num w:numId="5">
    <w:abstractNumId w:val="2"/>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0"/>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79B7"/>
    <w:rsid w:val="00000E7A"/>
    <w:rsid w:val="00001953"/>
    <w:rsid w:val="00005C10"/>
    <w:rsid w:val="00006F4A"/>
    <w:rsid w:val="000138A7"/>
    <w:rsid w:val="00014F82"/>
    <w:rsid w:val="0001582D"/>
    <w:rsid w:val="00016AA8"/>
    <w:rsid w:val="00037282"/>
    <w:rsid w:val="0004046B"/>
    <w:rsid w:val="0004083D"/>
    <w:rsid w:val="00040F03"/>
    <w:rsid w:val="00041350"/>
    <w:rsid w:val="00042710"/>
    <w:rsid w:val="00042DC1"/>
    <w:rsid w:val="00046247"/>
    <w:rsid w:val="00054169"/>
    <w:rsid w:val="00057272"/>
    <w:rsid w:val="00060A17"/>
    <w:rsid w:val="00063D32"/>
    <w:rsid w:val="00064D76"/>
    <w:rsid w:val="0007193A"/>
    <w:rsid w:val="00085CFA"/>
    <w:rsid w:val="00087687"/>
    <w:rsid w:val="00087A8E"/>
    <w:rsid w:val="00093103"/>
    <w:rsid w:val="00093F20"/>
    <w:rsid w:val="000A099D"/>
    <w:rsid w:val="000A18C9"/>
    <w:rsid w:val="000A204A"/>
    <w:rsid w:val="000A2693"/>
    <w:rsid w:val="000A5551"/>
    <w:rsid w:val="000A5830"/>
    <w:rsid w:val="000A5ACE"/>
    <w:rsid w:val="000B0376"/>
    <w:rsid w:val="000B20D8"/>
    <w:rsid w:val="000B21C3"/>
    <w:rsid w:val="000B51D0"/>
    <w:rsid w:val="000C083C"/>
    <w:rsid w:val="000C0C8C"/>
    <w:rsid w:val="000C34D6"/>
    <w:rsid w:val="000C63B0"/>
    <w:rsid w:val="000C69D1"/>
    <w:rsid w:val="000D15DB"/>
    <w:rsid w:val="000D3B1A"/>
    <w:rsid w:val="000D3BE3"/>
    <w:rsid w:val="000D4355"/>
    <w:rsid w:val="000D59F6"/>
    <w:rsid w:val="000D6C3A"/>
    <w:rsid w:val="000D6E96"/>
    <w:rsid w:val="000D73B1"/>
    <w:rsid w:val="000E32C7"/>
    <w:rsid w:val="000F1436"/>
    <w:rsid w:val="000F62BF"/>
    <w:rsid w:val="000F794C"/>
    <w:rsid w:val="0010153F"/>
    <w:rsid w:val="0010372E"/>
    <w:rsid w:val="00104BEC"/>
    <w:rsid w:val="00106954"/>
    <w:rsid w:val="001105BF"/>
    <w:rsid w:val="00110BA4"/>
    <w:rsid w:val="00111807"/>
    <w:rsid w:val="00112F76"/>
    <w:rsid w:val="001135B8"/>
    <w:rsid w:val="00114000"/>
    <w:rsid w:val="00116153"/>
    <w:rsid w:val="00117308"/>
    <w:rsid w:val="00133E7C"/>
    <w:rsid w:val="00144DC3"/>
    <w:rsid w:val="00147C6C"/>
    <w:rsid w:val="001538DF"/>
    <w:rsid w:val="00154FD3"/>
    <w:rsid w:val="00155575"/>
    <w:rsid w:val="001567C1"/>
    <w:rsid w:val="00166728"/>
    <w:rsid w:val="00166BDB"/>
    <w:rsid w:val="001679C5"/>
    <w:rsid w:val="001803F7"/>
    <w:rsid w:val="00180CF5"/>
    <w:rsid w:val="0018425D"/>
    <w:rsid w:val="001904F6"/>
    <w:rsid w:val="00191460"/>
    <w:rsid w:val="001921C1"/>
    <w:rsid w:val="00193617"/>
    <w:rsid w:val="00193B8F"/>
    <w:rsid w:val="0019428A"/>
    <w:rsid w:val="00196206"/>
    <w:rsid w:val="00197363"/>
    <w:rsid w:val="001A0BF3"/>
    <w:rsid w:val="001A34A9"/>
    <w:rsid w:val="001A57BC"/>
    <w:rsid w:val="001A6899"/>
    <w:rsid w:val="001B298F"/>
    <w:rsid w:val="001C00FD"/>
    <w:rsid w:val="001C07D1"/>
    <w:rsid w:val="001D1715"/>
    <w:rsid w:val="001D7716"/>
    <w:rsid w:val="001E0852"/>
    <w:rsid w:val="001E2DF0"/>
    <w:rsid w:val="001E5A83"/>
    <w:rsid w:val="001E5EF8"/>
    <w:rsid w:val="001E6EAD"/>
    <w:rsid w:val="001E7D92"/>
    <w:rsid w:val="001F1865"/>
    <w:rsid w:val="00202861"/>
    <w:rsid w:val="00203FC9"/>
    <w:rsid w:val="00204FBC"/>
    <w:rsid w:val="0021622B"/>
    <w:rsid w:val="00217356"/>
    <w:rsid w:val="0022203B"/>
    <w:rsid w:val="00222529"/>
    <w:rsid w:val="0022625A"/>
    <w:rsid w:val="0022678A"/>
    <w:rsid w:val="002276BD"/>
    <w:rsid w:val="00227A04"/>
    <w:rsid w:val="00233ABB"/>
    <w:rsid w:val="00244E10"/>
    <w:rsid w:val="002515CE"/>
    <w:rsid w:val="0025298E"/>
    <w:rsid w:val="002536AF"/>
    <w:rsid w:val="002538BC"/>
    <w:rsid w:val="002547DE"/>
    <w:rsid w:val="002556A2"/>
    <w:rsid w:val="0025571F"/>
    <w:rsid w:val="002632C6"/>
    <w:rsid w:val="00264955"/>
    <w:rsid w:val="00264C4D"/>
    <w:rsid w:val="00271DEE"/>
    <w:rsid w:val="002721AE"/>
    <w:rsid w:val="002729BB"/>
    <w:rsid w:val="002730AD"/>
    <w:rsid w:val="002746F7"/>
    <w:rsid w:val="00276572"/>
    <w:rsid w:val="002825CA"/>
    <w:rsid w:val="00283E04"/>
    <w:rsid w:val="00284036"/>
    <w:rsid w:val="0028535B"/>
    <w:rsid w:val="002879A0"/>
    <w:rsid w:val="00292C68"/>
    <w:rsid w:val="00295796"/>
    <w:rsid w:val="00295C65"/>
    <w:rsid w:val="00297869"/>
    <w:rsid w:val="002A395D"/>
    <w:rsid w:val="002A4E87"/>
    <w:rsid w:val="002A6119"/>
    <w:rsid w:val="002A7921"/>
    <w:rsid w:val="002B19F6"/>
    <w:rsid w:val="002B580A"/>
    <w:rsid w:val="002B663A"/>
    <w:rsid w:val="002B78EE"/>
    <w:rsid w:val="002C436E"/>
    <w:rsid w:val="002D1626"/>
    <w:rsid w:val="002D1685"/>
    <w:rsid w:val="002D23F5"/>
    <w:rsid w:val="002D3242"/>
    <w:rsid w:val="002D42B7"/>
    <w:rsid w:val="002D5836"/>
    <w:rsid w:val="002D5EEB"/>
    <w:rsid w:val="002D5F37"/>
    <w:rsid w:val="002D70D0"/>
    <w:rsid w:val="002D79D0"/>
    <w:rsid w:val="002E3DB7"/>
    <w:rsid w:val="002E40EA"/>
    <w:rsid w:val="002E4AB7"/>
    <w:rsid w:val="002E4EE9"/>
    <w:rsid w:val="002E532E"/>
    <w:rsid w:val="002F0FA2"/>
    <w:rsid w:val="00307D1D"/>
    <w:rsid w:val="0032055D"/>
    <w:rsid w:val="00322D5D"/>
    <w:rsid w:val="00325962"/>
    <w:rsid w:val="00325FBD"/>
    <w:rsid w:val="0033177C"/>
    <w:rsid w:val="00342A54"/>
    <w:rsid w:val="003445C3"/>
    <w:rsid w:val="00345E7C"/>
    <w:rsid w:val="0034669E"/>
    <w:rsid w:val="003552D6"/>
    <w:rsid w:val="003552DA"/>
    <w:rsid w:val="0036137C"/>
    <w:rsid w:val="00363C45"/>
    <w:rsid w:val="00365F80"/>
    <w:rsid w:val="00366340"/>
    <w:rsid w:val="00370C58"/>
    <w:rsid w:val="003734B9"/>
    <w:rsid w:val="003743E0"/>
    <w:rsid w:val="00381DB9"/>
    <w:rsid w:val="00382CC8"/>
    <w:rsid w:val="003834EC"/>
    <w:rsid w:val="003837BD"/>
    <w:rsid w:val="003845FF"/>
    <w:rsid w:val="003846CE"/>
    <w:rsid w:val="00384816"/>
    <w:rsid w:val="00385E58"/>
    <w:rsid w:val="003907CA"/>
    <w:rsid w:val="003922C8"/>
    <w:rsid w:val="00394166"/>
    <w:rsid w:val="003A28D4"/>
    <w:rsid w:val="003A7CA5"/>
    <w:rsid w:val="003B296F"/>
    <w:rsid w:val="003B68F8"/>
    <w:rsid w:val="003B6E90"/>
    <w:rsid w:val="003B6FB8"/>
    <w:rsid w:val="003B7655"/>
    <w:rsid w:val="003C3205"/>
    <w:rsid w:val="003C6AD7"/>
    <w:rsid w:val="003D41B4"/>
    <w:rsid w:val="003D6EC1"/>
    <w:rsid w:val="003E334A"/>
    <w:rsid w:val="003E37B8"/>
    <w:rsid w:val="003E6B1F"/>
    <w:rsid w:val="003F0CD2"/>
    <w:rsid w:val="003F11B4"/>
    <w:rsid w:val="003F1764"/>
    <w:rsid w:val="003F1B9A"/>
    <w:rsid w:val="003F321E"/>
    <w:rsid w:val="003F7681"/>
    <w:rsid w:val="00400A83"/>
    <w:rsid w:val="0040270C"/>
    <w:rsid w:val="00412A84"/>
    <w:rsid w:val="00424156"/>
    <w:rsid w:val="004257B2"/>
    <w:rsid w:val="004270BA"/>
    <w:rsid w:val="0043348D"/>
    <w:rsid w:val="00434CD5"/>
    <w:rsid w:val="00435BFF"/>
    <w:rsid w:val="00442C13"/>
    <w:rsid w:val="00452CD3"/>
    <w:rsid w:val="00457F93"/>
    <w:rsid w:val="004659A2"/>
    <w:rsid w:val="004674CC"/>
    <w:rsid w:val="004675C3"/>
    <w:rsid w:val="00471E03"/>
    <w:rsid w:val="00472E3F"/>
    <w:rsid w:val="00474C35"/>
    <w:rsid w:val="00475681"/>
    <w:rsid w:val="00476D27"/>
    <w:rsid w:val="00477B0D"/>
    <w:rsid w:val="0048183B"/>
    <w:rsid w:val="00482BFF"/>
    <w:rsid w:val="00490606"/>
    <w:rsid w:val="00490755"/>
    <w:rsid w:val="00492001"/>
    <w:rsid w:val="00497555"/>
    <w:rsid w:val="004A0EC1"/>
    <w:rsid w:val="004A37AE"/>
    <w:rsid w:val="004A3828"/>
    <w:rsid w:val="004A3C88"/>
    <w:rsid w:val="004A3E11"/>
    <w:rsid w:val="004A65C9"/>
    <w:rsid w:val="004B6C0F"/>
    <w:rsid w:val="004C3151"/>
    <w:rsid w:val="004C323F"/>
    <w:rsid w:val="004D0846"/>
    <w:rsid w:val="004D0E98"/>
    <w:rsid w:val="004D1907"/>
    <w:rsid w:val="004D3DCE"/>
    <w:rsid w:val="004D682B"/>
    <w:rsid w:val="004E1600"/>
    <w:rsid w:val="004E2257"/>
    <w:rsid w:val="004E2F8A"/>
    <w:rsid w:val="004E5451"/>
    <w:rsid w:val="004E6091"/>
    <w:rsid w:val="004E61FD"/>
    <w:rsid w:val="004F4CE5"/>
    <w:rsid w:val="004F4FE9"/>
    <w:rsid w:val="004F5D57"/>
    <w:rsid w:val="004F6B7A"/>
    <w:rsid w:val="004F7FFD"/>
    <w:rsid w:val="00500B3D"/>
    <w:rsid w:val="00503C05"/>
    <w:rsid w:val="00507359"/>
    <w:rsid w:val="005172B6"/>
    <w:rsid w:val="0052160A"/>
    <w:rsid w:val="0052573B"/>
    <w:rsid w:val="00532D1E"/>
    <w:rsid w:val="00535375"/>
    <w:rsid w:val="00535911"/>
    <w:rsid w:val="00537055"/>
    <w:rsid w:val="00540F7C"/>
    <w:rsid w:val="00541D81"/>
    <w:rsid w:val="00544E37"/>
    <w:rsid w:val="005452B3"/>
    <w:rsid w:val="0055113C"/>
    <w:rsid w:val="00553164"/>
    <w:rsid w:val="00554D29"/>
    <w:rsid w:val="0055691A"/>
    <w:rsid w:val="00560243"/>
    <w:rsid w:val="00561959"/>
    <w:rsid w:val="00563E61"/>
    <w:rsid w:val="0056586E"/>
    <w:rsid w:val="00566B3A"/>
    <w:rsid w:val="00567199"/>
    <w:rsid w:val="00567525"/>
    <w:rsid w:val="005703B1"/>
    <w:rsid w:val="0057178E"/>
    <w:rsid w:val="00577BE5"/>
    <w:rsid w:val="00577E06"/>
    <w:rsid w:val="005824D8"/>
    <w:rsid w:val="005863E6"/>
    <w:rsid w:val="00586BCB"/>
    <w:rsid w:val="00590B4C"/>
    <w:rsid w:val="00591229"/>
    <w:rsid w:val="00592242"/>
    <w:rsid w:val="005927DB"/>
    <w:rsid w:val="00593669"/>
    <w:rsid w:val="00593920"/>
    <w:rsid w:val="00597C48"/>
    <w:rsid w:val="00597D7E"/>
    <w:rsid w:val="005A1D4A"/>
    <w:rsid w:val="005A4638"/>
    <w:rsid w:val="005A4EE7"/>
    <w:rsid w:val="005B4BCA"/>
    <w:rsid w:val="005B66EF"/>
    <w:rsid w:val="005C1DFE"/>
    <w:rsid w:val="005C2CE8"/>
    <w:rsid w:val="005C3DBD"/>
    <w:rsid w:val="005C6C60"/>
    <w:rsid w:val="005C7E8A"/>
    <w:rsid w:val="005D2B33"/>
    <w:rsid w:val="005D3506"/>
    <w:rsid w:val="005D42BC"/>
    <w:rsid w:val="005D6136"/>
    <w:rsid w:val="005E1BF1"/>
    <w:rsid w:val="005E1C4C"/>
    <w:rsid w:val="005E5411"/>
    <w:rsid w:val="005F0A0A"/>
    <w:rsid w:val="005F75FE"/>
    <w:rsid w:val="0060104A"/>
    <w:rsid w:val="00601FAC"/>
    <w:rsid w:val="00603014"/>
    <w:rsid w:val="00615B6C"/>
    <w:rsid w:val="00615E21"/>
    <w:rsid w:val="00616D9C"/>
    <w:rsid w:val="0061747F"/>
    <w:rsid w:val="006174A7"/>
    <w:rsid w:val="006221C1"/>
    <w:rsid w:val="006227BA"/>
    <w:rsid w:val="00634455"/>
    <w:rsid w:val="00640E61"/>
    <w:rsid w:val="00641D10"/>
    <w:rsid w:val="0064233F"/>
    <w:rsid w:val="00642481"/>
    <w:rsid w:val="006436BE"/>
    <w:rsid w:val="006446A7"/>
    <w:rsid w:val="00650A73"/>
    <w:rsid w:val="00651EAF"/>
    <w:rsid w:val="0065280A"/>
    <w:rsid w:val="006560C5"/>
    <w:rsid w:val="0065644E"/>
    <w:rsid w:val="00660D51"/>
    <w:rsid w:val="00661544"/>
    <w:rsid w:val="006619AE"/>
    <w:rsid w:val="00662D28"/>
    <w:rsid w:val="006631D6"/>
    <w:rsid w:val="00663DAE"/>
    <w:rsid w:val="00664E5A"/>
    <w:rsid w:val="00666357"/>
    <w:rsid w:val="006706BB"/>
    <w:rsid w:val="006726C6"/>
    <w:rsid w:val="00680D7D"/>
    <w:rsid w:val="00684ADB"/>
    <w:rsid w:val="00685301"/>
    <w:rsid w:val="00685A16"/>
    <w:rsid w:val="006862E4"/>
    <w:rsid w:val="00692D20"/>
    <w:rsid w:val="00696276"/>
    <w:rsid w:val="006A086C"/>
    <w:rsid w:val="006A55CA"/>
    <w:rsid w:val="006B3B34"/>
    <w:rsid w:val="006B42FD"/>
    <w:rsid w:val="006B6FE0"/>
    <w:rsid w:val="006D4681"/>
    <w:rsid w:val="006D7421"/>
    <w:rsid w:val="006E143A"/>
    <w:rsid w:val="006E1D45"/>
    <w:rsid w:val="006E2BF6"/>
    <w:rsid w:val="006E2DA2"/>
    <w:rsid w:val="006E2E68"/>
    <w:rsid w:val="006F036F"/>
    <w:rsid w:val="006F27B3"/>
    <w:rsid w:val="006F2E66"/>
    <w:rsid w:val="006F42C7"/>
    <w:rsid w:val="006F5E40"/>
    <w:rsid w:val="00706347"/>
    <w:rsid w:val="00712006"/>
    <w:rsid w:val="007127E3"/>
    <w:rsid w:val="00712A93"/>
    <w:rsid w:val="0071301D"/>
    <w:rsid w:val="00713F7C"/>
    <w:rsid w:val="007146B2"/>
    <w:rsid w:val="007160BF"/>
    <w:rsid w:val="0072011C"/>
    <w:rsid w:val="007207F3"/>
    <w:rsid w:val="007216F9"/>
    <w:rsid w:val="007316B1"/>
    <w:rsid w:val="0073521D"/>
    <w:rsid w:val="00736227"/>
    <w:rsid w:val="00741F49"/>
    <w:rsid w:val="00744016"/>
    <w:rsid w:val="00745AE9"/>
    <w:rsid w:val="007501D1"/>
    <w:rsid w:val="00751169"/>
    <w:rsid w:val="00751DDF"/>
    <w:rsid w:val="0075217B"/>
    <w:rsid w:val="00752F9A"/>
    <w:rsid w:val="00754AC2"/>
    <w:rsid w:val="007551D1"/>
    <w:rsid w:val="007566A7"/>
    <w:rsid w:val="00760B00"/>
    <w:rsid w:val="0076708D"/>
    <w:rsid w:val="00771D5C"/>
    <w:rsid w:val="007751A6"/>
    <w:rsid w:val="00777793"/>
    <w:rsid w:val="00777CDC"/>
    <w:rsid w:val="00783989"/>
    <w:rsid w:val="0078468E"/>
    <w:rsid w:val="00785469"/>
    <w:rsid w:val="007859DA"/>
    <w:rsid w:val="0078633F"/>
    <w:rsid w:val="007868E4"/>
    <w:rsid w:val="00790E29"/>
    <w:rsid w:val="007930D2"/>
    <w:rsid w:val="00794915"/>
    <w:rsid w:val="007969BA"/>
    <w:rsid w:val="007A0777"/>
    <w:rsid w:val="007A21F7"/>
    <w:rsid w:val="007A232D"/>
    <w:rsid w:val="007A3170"/>
    <w:rsid w:val="007A7E21"/>
    <w:rsid w:val="007B16F0"/>
    <w:rsid w:val="007B2759"/>
    <w:rsid w:val="007C013E"/>
    <w:rsid w:val="007C15A3"/>
    <w:rsid w:val="007C1DCA"/>
    <w:rsid w:val="007C5C38"/>
    <w:rsid w:val="007D4367"/>
    <w:rsid w:val="007D5291"/>
    <w:rsid w:val="007D7A29"/>
    <w:rsid w:val="007E0E5B"/>
    <w:rsid w:val="007E5B41"/>
    <w:rsid w:val="007E60CD"/>
    <w:rsid w:val="007F0648"/>
    <w:rsid w:val="007F4632"/>
    <w:rsid w:val="00800ACF"/>
    <w:rsid w:val="00800E90"/>
    <w:rsid w:val="00801219"/>
    <w:rsid w:val="00803C7C"/>
    <w:rsid w:val="008056D6"/>
    <w:rsid w:val="00806DE6"/>
    <w:rsid w:val="0081129B"/>
    <w:rsid w:val="00812439"/>
    <w:rsid w:val="00813054"/>
    <w:rsid w:val="00813311"/>
    <w:rsid w:val="0081414F"/>
    <w:rsid w:val="008153F9"/>
    <w:rsid w:val="00817B4B"/>
    <w:rsid w:val="0082012C"/>
    <w:rsid w:val="00824DC7"/>
    <w:rsid w:val="008261F2"/>
    <w:rsid w:val="008266D0"/>
    <w:rsid w:val="00826E0D"/>
    <w:rsid w:val="00830441"/>
    <w:rsid w:val="0083044A"/>
    <w:rsid w:val="00830BF8"/>
    <w:rsid w:val="008315A6"/>
    <w:rsid w:val="0084384B"/>
    <w:rsid w:val="008451A3"/>
    <w:rsid w:val="00846188"/>
    <w:rsid w:val="008549C2"/>
    <w:rsid w:val="008566F4"/>
    <w:rsid w:val="00865A99"/>
    <w:rsid w:val="00866F22"/>
    <w:rsid w:val="00867F5F"/>
    <w:rsid w:val="0087180D"/>
    <w:rsid w:val="00871BEC"/>
    <w:rsid w:val="00871E77"/>
    <w:rsid w:val="00873198"/>
    <w:rsid w:val="00874A64"/>
    <w:rsid w:val="00874C2E"/>
    <w:rsid w:val="008753CC"/>
    <w:rsid w:val="00876754"/>
    <w:rsid w:val="00876C9A"/>
    <w:rsid w:val="008772DF"/>
    <w:rsid w:val="00881D54"/>
    <w:rsid w:val="0088229B"/>
    <w:rsid w:val="0088562B"/>
    <w:rsid w:val="00892AE4"/>
    <w:rsid w:val="00893C18"/>
    <w:rsid w:val="00893DBD"/>
    <w:rsid w:val="00895800"/>
    <w:rsid w:val="008A445B"/>
    <w:rsid w:val="008A6BF5"/>
    <w:rsid w:val="008A7690"/>
    <w:rsid w:val="008B1BF1"/>
    <w:rsid w:val="008B285B"/>
    <w:rsid w:val="008B399B"/>
    <w:rsid w:val="008B45AD"/>
    <w:rsid w:val="008C0D4E"/>
    <w:rsid w:val="008C153F"/>
    <w:rsid w:val="008C2CD0"/>
    <w:rsid w:val="008C2D9F"/>
    <w:rsid w:val="008C2E3D"/>
    <w:rsid w:val="008D238B"/>
    <w:rsid w:val="008D4743"/>
    <w:rsid w:val="008D5E92"/>
    <w:rsid w:val="008D62F5"/>
    <w:rsid w:val="008D7056"/>
    <w:rsid w:val="008E5CEB"/>
    <w:rsid w:val="008E694D"/>
    <w:rsid w:val="008F17A2"/>
    <w:rsid w:val="008F22FE"/>
    <w:rsid w:val="008F2B9D"/>
    <w:rsid w:val="008F587F"/>
    <w:rsid w:val="009012BB"/>
    <w:rsid w:val="009014B4"/>
    <w:rsid w:val="00902127"/>
    <w:rsid w:val="00902DC7"/>
    <w:rsid w:val="00902ED8"/>
    <w:rsid w:val="00904537"/>
    <w:rsid w:val="00904A55"/>
    <w:rsid w:val="00904D42"/>
    <w:rsid w:val="00907496"/>
    <w:rsid w:val="009116AE"/>
    <w:rsid w:val="0091436F"/>
    <w:rsid w:val="0091446C"/>
    <w:rsid w:val="009172D3"/>
    <w:rsid w:val="009179D3"/>
    <w:rsid w:val="0092358C"/>
    <w:rsid w:val="0092500B"/>
    <w:rsid w:val="0092530A"/>
    <w:rsid w:val="00927BC1"/>
    <w:rsid w:val="00931431"/>
    <w:rsid w:val="00931E35"/>
    <w:rsid w:val="009328D0"/>
    <w:rsid w:val="00935CF1"/>
    <w:rsid w:val="0094134D"/>
    <w:rsid w:val="0094180D"/>
    <w:rsid w:val="00942083"/>
    <w:rsid w:val="00942CD2"/>
    <w:rsid w:val="00943279"/>
    <w:rsid w:val="00944EE6"/>
    <w:rsid w:val="00945816"/>
    <w:rsid w:val="00951D52"/>
    <w:rsid w:val="00954FC2"/>
    <w:rsid w:val="00956EAC"/>
    <w:rsid w:val="00964477"/>
    <w:rsid w:val="00964690"/>
    <w:rsid w:val="0096707C"/>
    <w:rsid w:val="00967CD5"/>
    <w:rsid w:val="00974796"/>
    <w:rsid w:val="00975F8A"/>
    <w:rsid w:val="00977812"/>
    <w:rsid w:val="0098183F"/>
    <w:rsid w:val="00983249"/>
    <w:rsid w:val="0098776C"/>
    <w:rsid w:val="009937C2"/>
    <w:rsid w:val="0099483D"/>
    <w:rsid w:val="009A27B6"/>
    <w:rsid w:val="009A4A19"/>
    <w:rsid w:val="009A4E03"/>
    <w:rsid w:val="009A4F14"/>
    <w:rsid w:val="009B019D"/>
    <w:rsid w:val="009B3DD6"/>
    <w:rsid w:val="009B55FC"/>
    <w:rsid w:val="009B5EC6"/>
    <w:rsid w:val="009B6B50"/>
    <w:rsid w:val="009B6EA4"/>
    <w:rsid w:val="009C029B"/>
    <w:rsid w:val="009C1F85"/>
    <w:rsid w:val="009C1FBF"/>
    <w:rsid w:val="009C3447"/>
    <w:rsid w:val="009C3B9B"/>
    <w:rsid w:val="009C403F"/>
    <w:rsid w:val="009C6504"/>
    <w:rsid w:val="009C6527"/>
    <w:rsid w:val="009C7D1A"/>
    <w:rsid w:val="009D0044"/>
    <w:rsid w:val="009D2BC0"/>
    <w:rsid w:val="009D3208"/>
    <w:rsid w:val="009D36C8"/>
    <w:rsid w:val="009D66AB"/>
    <w:rsid w:val="009F3C0F"/>
    <w:rsid w:val="009F3EBA"/>
    <w:rsid w:val="009F62C6"/>
    <w:rsid w:val="00A0448C"/>
    <w:rsid w:val="00A06A48"/>
    <w:rsid w:val="00A104FE"/>
    <w:rsid w:val="00A1442A"/>
    <w:rsid w:val="00A17A73"/>
    <w:rsid w:val="00A17EFE"/>
    <w:rsid w:val="00A21BB3"/>
    <w:rsid w:val="00A21FFA"/>
    <w:rsid w:val="00A23DF9"/>
    <w:rsid w:val="00A35ADE"/>
    <w:rsid w:val="00A43A4E"/>
    <w:rsid w:val="00A47DF3"/>
    <w:rsid w:val="00A52F44"/>
    <w:rsid w:val="00A53A23"/>
    <w:rsid w:val="00A53AE1"/>
    <w:rsid w:val="00A5403B"/>
    <w:rsid w:val="00A54B66"/>
    <w:rsid w:val="00A6436F"/>
    <w:rsid w:val="00A6482A"/>
    <w:rsid w:val="00A660EE"/>
    <w:rsid w:val="00A66AD1"/>
    <w:rsid w:val="00A704D5"/>
    <w:rsid w:val="00A71AB8"/>
    <w:rsid w:val="00A75C66"/>
    <w:rsid w:val="00A85389"/>
    <w:rsid w:val="00A87F1C"/>
    <w:rsid w:val="00A927FD"/>
    <w:rsid w:val="00A931D3"/>
    <w:rsid w:val="00AA2264"/>
    <w:rsid w:val="00AA66AE"/>
    <w:rsid w:val="00AA7C4F"/>
    <w:rsid w:val="00AB0470"/>
    <w:rsid w:val="00AB156A"/>
    <w:rsid w:val="00AB68AF"/>
    <w:rsid w:val="00AB6CF7"/>
    <w:rsid w:val="00AC1CEE"/>
    <w:rsid w:val="00AC2E69"/>
    <w:rsid w:val="00AC61F4"/>
    <w:rsid w:val="00AC675D"/>
    <w:rsid w:val="00AC7D61"/>
    <w:rsid w:val="00AD6BF9"/>
    <w:rsid w:val="00AD7A08"/>
    <w:rsid w:val="00AE12B0"/>
    <w:rsid w:val="00AE25CD"/>
    <w:rsid w:val="00AE301C"/>
    <w:rsid w:val="00AE341D"/>
    <w:rsid w:val="00AE35E5"/>
    <w:rsid w:val="00AE70DB"/>
    <w:rsid w:val="00AF6053"/>
    <w:rsid w:val="00AF7DE1"/>
    <w:rsid w:val="00B00668"/>
    <w:rsid w:val="00B0080F"/>
    <w:rsid w:val="00B015D6"/>
    <w:rsid w:val="00B01C8D"/>
    <w:rsid w:val="00B0649B"/>
    <w:rsid w:val="00B11278"/>
    <w:rsid w:val="00B11465"/>
    <w:rsid w:val="00B120C9"/>
    <w:rsid w:val="00B125DD"/>
    <w:rsid w:val="00B15B6F"/>
    <w:rsid w:val="00B173AD"/>
    <w:rsid w:val="00B248C8"/>
    <w:rsid w:val="00B267C8"/>
    <w:rsid w:val="00B26B85"/>
    <w:rsid w:val="00B26FEA"/>
    <w:rsid w:val="00B400FB"/>
    <w:rsid w:val="00B40FD0"/>
    <w:rsid w:val="00B41872"/>
    <w:rsid w:val="00B51258"/>
    <w:rsid w:val="00B51E68"/>
    <w:rsid w:val="00B567F5"/>
    <w:rsid w:val="00B6067F"/>
    <w:rsid w:val="00B62461"/>
    <w:rsid w:val="00B7516C"/>
    <w:rsid w:val="00B75E04"/>
    <w:rsid w:val="00B847D7"/>
    <w:rsid w:val="00B84CD3"/>
    <w:rsid w:val="00B86528"/>
    <w:rsid w:val="00B86B0E"/>
    <w:rsid w:val="00B9180A"/>
    <w:rsid w:val="00B95651"/>
    <w:rsid w:val="00BA0B48"/>
    <w:rsid w:val="00BA1F71"/>
    <w:rsid w:val="00BA4307"/>
    <w:rsid w:val="00BA6EEB"/>
    <w:rsid w:val="00BB0C58"/>
    <w:rsid w:val="00BB0D9C"/>
    <w:rsid w:val="00BB63FF"/>
    <w:rsid w:val="00BB6B3E"/>
    <w:rsid w:val="00BB76EA"/>
    <w:rsid w:val="00BD2164"/>
    <w:rsid w:val="00BD4A32"/>
    <w:rsid w:val="00BD50C7"/>
    <w:rsid w:val="00BE2E5E"/>
    <w:rsid w:val="00BE69DC"/>
    <w:rsid w:val="00BF26EA"/>
    <w:rsid w:val="00BF3B9C"/>
    <w:rsid w:val="00BF656E"/>
    <w:rsid w:val="00C05577"/>
    <w:rsid w:val="00C05C54"/>
    <w:rsid w:val="00C10EE7"/>
    <w:rsid w:val="00C173A9"/>
    <w:rsid w:val="00C21A29"/>
    <w:rsid w:val="00C220F9"/>
    <w:rsid w:val="00C22C02"/>
    <w:rsid w:val="00C26E98"/>
    <w:rsid w:val="00C312EE"/>
    <w:rsid w:val="00C313DF"/>
    <w:rsid w:val="00C3420F"/>
    <w:rsid w:val="00C351C8"/>
    <w:rsid w:val="00C37F98"/>
    <w:rsid w:val="00C42C7C"/>
    <w:rsid w:val="00C52F53"/>
    <w:rsid w:val="00C54109"/>
    <w:rsid w:val="00C61219"/>
    <w:rsid w:val="00C633A3"/>
    <w:rsid w:val="00C676D4"/>
    <w:rsid w:val="00C73D0A"/>
    <w:rsid w:val="00C74993"/>
    <w:rsid w:val="00C76AAB"/>
    <w:rsid w:val="00C80AF0"/>
    <w:rsid w:val="00C92E64"/>
    <w:rsid w:val="00C95080"/>
    <w:rsid w:val="00C956CA"/>
    <w:rsid w:val="00CA037A"/>
    <w:rsid w:val="00CA6289"/>
    <w:rsid w:val="00CA6EF9"/>
    <w:rsid w:val="00CB08A2"/>
    <w:rsid w:val="00CB551A"/>
    <w:rsid w:val="00CB6978"/>
    <w:rsid w:val="00CB7CE3"/>
    <w:rsid w:val="00CC52C1"/>
    <w:rsid w:val="00CC6DD0"/>
    <w:rsid w:val="00CC7FEC"/>
    <w:rsid w:val="00CD18F9"/>
    <w:rsid w:val="00CD39E9"/>
    <w:rsid w:val="00CD6E43"/>
    <w:rsid w:val="00CE077F"/>
    <w:rsid w:val="00CE0862"/>
    <w:rsid w:val="00CE2A4A"/>
    <w:rsid w:val="00CF2BB7"/>
    <w:rsid w:val="00CF4A07"/>
    <w:rsid w:val="00D0028D"/>
    <w:rsid w:val="00D00514"/>
    <w:rsid w:val="00D027B0"/>
    <w:rsid w:val="00D037AB"/>
    <w:rsid w:val="00D106C4"/>
    <w:rsid w:val="00D112D1"/>
    <w:rsid w:val="00D12C3D"/>
    <w:rsid w:val="00D13DF3"/>
    <w:rsid w:val="00D14311"/>
    <w:rsid w:val="00D14EDC"/>
    <w:rsid w:val="00D179B0"/>
    <w:rsid w:val="00D2388B"/>
    <w:rsid w:val="00D24056"/>
    <w:rsid w:val="00D4015F"/>
    <w:rsid w:val="00D41727"/>
    <w:rsid w:val="00D45D2B"/>
    <w:rsid w:val="00D551C5"/>
    <w:rsid w:val="00D553B1"/>
    <w:rsid w:val="00D56A21"/>
    <w:rsid w:val="00D62BD3"/>
    <w:rsid w:val="00D67BDE"/>
    <w:rsid w:val="00D713AA"/>
    <w:rsid w:val="00D71423"/>
    <w:rsid w:val="00D80B3F"/>
    <w:rsid w:val="00D86209"/>
    <w:rsid w:val="00D870BA"/>
    <w:rsid w:val="00D932A0"/>
    <w:rsid w:val="00D93744"/>
    <w:rsid w:val="00D97C59"/>
    <w:rsid w:val="00DA3A7D"/>
    <w:rsid w:val="00DA76A0"/>
    <w:rsid w:val="00DB0832"/>
    <w:rsid w:val="00DB33BA"/>
    <w:rsid w:val="00DB379D"/>
    <w:rsid w:val="00DB538B"/>
    <w:rsid w:val="00DB7425"/>
    <w:rsid w:val="00DB7E77"/>
    <w:rsid w:val="00DC63AA"/>
    <w:rsid w:val="00DC6A88"/>
    <w:rsid w:val="00DD0A7A"/>
    <w:rsid w:val="00DD29D8"/>
    <w:rsid w:val="00DD3170"/>
    <w:rsid w:val="00DE04CF"/>
    <w:rsid w:val="00DE106A"/>
    <w:rsid w:val="00DE2637"/>
    <w:rsid w:val="00DE2C75"/>
    <w:rsid w:val="00DF292E"/>
    <w:rsid w:val="00DF2A7D"/>
    <w:rsid w:val="00DF3066"/>
    <w:rsid w:val="00DF6D70"/>
    <w:rsid w:val="00E02C51"/>
    <w:rsid w:val="00E053B4"/>
    <w:rsid w:val="00E06BCC"/>
    <w:rsid w:val="00E1127F"/>
    <w:rsid w:val="00E14549"/>
    <w:rsid w:val="00E15949"/>
    <w:rsid w:val="00E163A7"/>
    <w:rsid w:val="00E16608"/>
    <w:rsid w:val="00E16E0E"/>
    <w:rsid w:val="00E17363"/>
    <w:rsid w:val="00E17B54"/>
    <w:rsid w:val="00E213AE"/>
    <w:rsid w:val="00E27AAE"/>
    <w:rsid w:val="00E30E7C"/>
    <w:rsid w:val="00E32985"/>
    <w:rsid w:val="00E37756"/>
    <w:rsid w:val="00E43077"/>
    <w:rsid w:val="00E437DB"/>
    <w:rsid w:val="00E43F57"/>
    <w:rsid w:val="00E54264"/>
    <w:rsid w:val="00E55135"/>
    <w:rsid w:val="00E60EA2"/>
    <w:rsid w:val="00E627EB"/>
    <w:rsid w:val="00E6445E"/>
    <w:rsid w:val="00E645D9"/>
    <w:rsid w:val="00E72AB6"/>
    <w:rsid w:val="00E72FAD"/>
    <w:rsid w:val="00E8290D"/>
    <w:rsid w:val="00E844EF"/>
    <w:rsid w:val="00E857E7"/>
    <w:rsid w:val="00E865DE"/>
    <w:rsid w:val="00E87646"/>
    <w:rsid w:val="00E912C7"/>
    <w:rsid w:val="00E958BB"/>
    <w:rsid w:val="00E96A11"/>
    <w:rsid w:val="00E96F77"/>
    <w:rsid w:val="00EA18AB"/>
    <w:rsid w:val="00EA1CD5"/>
    <w:rsid w:val="00EA4A67"/>
    <w:rsid w:val="00EA5893"/>
    <w:rsid w:val="00EB0B6C"/>
    <w:rsid w:val="00EB1DB7"/>
    <w:rsid w:val="00EB5848"/>
    <w:rsid w:val="00EB684B"/>
    <w:rsid w:val="00EB746D"/>
    <w:rsid w:val="00EC4E9A"/>
    <w:rsid w:val="00ED1EB0"/>
    <w:rsid w:val="00ED2B66"/>
    <w:rsid w:val="00ED4076"/>
    <w:rsid w:val="00EE3112"/>
    <w:rsid w:val="00EF0203"/>
    <w:rsid w:val="00EF0FFC"/>
    <w:rsid w:val="00EF24F7"/>
    <w:rsid w:val="00EF4AF8"/>
    <w:rsid w:val="00EF5327"/>
    <w:rsid w:val="00F0059B"/>
    <w:rsid w:val="00F00775"/>
    <w:rsid w:val="00F00D1A"/>
    <w:rsid w:val="00F00ED4"/>
    <w:rsid w:val="00F02DED"/>
    <w:rsid w:val="00F07750"/>
    <w:rsid w:val="00F07D32"/>
    <w:rsid w:val="00F134DB"/>
    <w:rsid w:val="00F14BC4"/>
    <w:rsid w:val="00F14E0F"/>
    <w:rsid w:val="00F160E9"/>
    <w:rsid w:val="00F226E6"/>
    <w:rsid w:val="00F23162"/>
    <w:rsid w:val="00F27380"/>
    <w:rsid w:val="00F31FF5"/>
    <w:rsid w:val="00F3662E"/>
    <w:rsid w:val="00F36C50"/>
    <w:rsid w:val="00F42610"/>
    <w:rsid w:val="00F43E25"/>
    <w:rsid w:val="00F44CFF"/>
    <w:rsid w:val="00F51818"/>
    <w:rsid w:val="00F51B02"/>
    <w:rsid w:val="00F554E0"/>
    <w:rsid w:val="00F55F0E"/>
    <w:rsid w:val="00F57092"/>
    <w:rsid w:val="00F60AE6"/>
    <w:rsid w:val="00F6351C"/>
    <w:rsid w:val="00F6397E"/>
    <w:rsid w:val="00F63EB1"/>
    <w:rsid w:val="00F72358"/>
    <w:rsid w:val="00F72A87"/>
    <w:rsid w:val="00F739F1"/>
    <w:rsid w:val="00F74EBE"/>
    <w:rsid w:val="00F761DE"/>
    <w:rsid w:val="00F76FD1"/>
    <w:rsid w:val="00F8017A"/>
    <w:rsid w:val="00F80DBA"/>
    <w:rsid w:val="00F87E45"/>
    <w:rsid w:val="00F90A9F"/>
    <w:rsid w:val="00F939D2"/>
    <w:rsid w:val="00F971C3"/>
    <w:rsid w:val="00F97BB2"/>
    <w:rsid w:val="00FA1316"/>
    <w:rsid w:val="00FA4C53"/>
    <w:rsid w:val="00FA635F"/>
    <w:rsid w:val="00FA675F"/>
    <w:rsid w:val="00FB4C8F"/>
    <w:rsid w:val="00FB6BE8"/>
    <w:rsid w:val="00FC0369"/>
    <w:rsid w:val="00FC0B6D"/>
    <w:rsid w:val="00FC453A"/>
    <w:rsid w:val="00FC7067"/>
    <w:rsid w:val="00FD1A67"/>
    <w:rsid w:val="00FD1EE0"/>
    <w:rsid w:val="00FD6EF1"/>
    <w:rsid w:val="00FE09A5"/>
    <w:rsid w:val="00FE381B"/>
    <w:rsid w:val="00FE5687"/>
    <w:rsid w:val="00FE77C9"/>
    <w:rsid w:val="00FF050A"/>
    <w:rsid w:val="00FF22F1"/>
    <w:rsid w:val="00FF3130"/>
    <w:rsid w:val="00FF349E"/>
    <w:rsid w:val="00FF3C90"/>
    <w:rsid w:val="00FF5AD8"/>
    <w:rsid w:val="00FF79B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CD2146"/>
  <w15:chartTrackingRefBased/>
  <w15:docId w15:val="{24085192-4BE7-425D-8828-1E813A053E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97479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semiHidden/>
    <w:unhideWhenUsed/>
    <w:qFormat/>
    <w:rsid w:val="00974796"/>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97479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link w:val="PargrafodaListaChar"/>
    <w:uiPriority w:val="34"/>
    <w:qFormat/>
    <w:rsid w:val="00C173A9"/>
    <w:pPr>
      <w:ind w:left="720"/>
      <w:contextualSpacing/>
    </w:pPr>
  </w:style>
  <w:style w:type="character" w:styleId="Hyperlink">
    <w:name w:val="Hyperlink"/>
    <w:basedOn w:val="Fontepargpadro"/>
    <w:uiPriority w:val="99"/>
    <w:unhideWhenUsed/>
    <w:rsid w:val="006B3B34"/>
    <w:rPr>
      <w:color w:val="0563C1" w:themeColor="hyperlink"/>
      <w:u w:val="single"/>
    </w:rPr>
  </w:style>
  <w:style w:type="character" w:styleId="Refdecomentrio">
    <w:name w:val="annotation reference"/>
    <w:basedOn w:val="Fontepargpadro"/>
    <w:uiPriority w:val="99"/>
    <w:semiHidden/>
    <w:unhideWhenUsed/>
    <w:rsid w:val="007501D1"/>
    <w:rPr>
      <w:sz w:val="16"/>
      <w:szCs w:val="16"/>
    </w:rPr>
  </w:style>
  <w:style w:type="paragraph" w:styleId="Textodecomentrio">
    <w:name w:val="annotation text"/>
    <w:basedOn w:val="Normal"/>
    <w:link w:val="TextodecomentrioChar"/>
    <w:uiPriority w:val="99"/>
    <w:semiHidden/>
    <w:unhideWhenUsed/>
    <w:rsid w:val="007501D1"/>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7501D1"/>
    <w:rPr>
      <w:sz w:val="20"/>
      <w:szCs w:val="20"/>
    </w:rPr>
  </w:style>
  <w:style w:type="paragraph" w:styleId="Assuntodocomentrio">
    <w:name w:val="annotation subject"/>
    <w:basedOn w:val="Textodecomentrio"/>
    <w:next w:val="Textodecomentrio"/>
    <w:link w:val="AssuntodocomentrioChar"/>
    <w:uiPriority w:val="99"/>
    <w:semiHidden/>
    <w:unhideWhenUsed/>
    <w:rsid w:val="007501D1"/>
    <w:rPr>
      <w:b/>
      <w:bCs/>
    </w:rPr>
  </w:style>
  <w:style w:type="character" w:customStyle="1" w:styleId="AssuntodocomentrioChar">
    <w:name w:val="Assunto do comentário Char"/>
    <w:basedOn w:val="TextodecomentrioChar"/>
    <w:link w:val="Assuntodocomentrio"/>
    <w:uiPriority w:val="99"/>
    <w:semiHidden/>
    <w:rsid w:val="007501D1"/>
    <w:rPr>
      <w:b/>
      <w:bCs/>
      <w:sz w:val="20"/>
      <w:szCs w:val="20"/>
    </w:rPr>
  </w:style>
  <w:style w:type="paragraph" w:styleId="Textodebalo">
    <w:name w:val="Balloon Text"/>
    <w:basedOn w:val="Normal"/>
    <w:link w:val="TextodebaloChar"/>
    <w:uiPriority w:val="99"/>
    <w:semiHidden/>
    <w:unhideWhenUsed/>
    <w:rsid w:val="007501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7501D1"/>
    <w:rPr>
      <w:rFonts w:ascii="Segoe UI" w:hAnsi="Segoe UI" w:cs="Segoe UI"/>
      <w:sz w:val="18"/>
      <w:szCs w:val="18"/>
    </w:rPr>
  </w:style>
  <w:style w:type="table" w:styleId="Tabelacomgrade">
    <w:name w:val="Table Grid"/>
    <w:basedOn w:val="Tabelanormal"/>
    <w:uiPriority w:val="39"/>
    <w:rsid w:val="007F06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ULO">
    <w:name w:val="CAPÍTULO"/>
    <w:basedOn w:val="PargrafodaLista"/>
    <w:link w:val="CAPTULOChar"/>
    <w:qFormat/>
    <w:rsid w:val="00342A54"/>
    <w:pPr>
      <w:keepNext/>
      <w:numPr>
        <w:numId w:val="5"/>
      </w:numPr>
      <w:spacing w:after="0" w:line="360" w:lineRule="auto"/>
      <w:jc w:val="center"/>
    </w:pPr>
    <w:rPr>
      <w:rFonts w:ascii="Arial" w:hAnsi="Arial" w:cs="Arial"/>
      <w:b/>
      <w:sz w:val="32"/>
    </w:rPr>
  </w:style>
  <w:style w:type="paragraph" w:customStyle="1" w:styleId="TTULO">
    <w:name w:val="TÍTULO"/>
    <w:basedOn w:val="Normal"/>
    <w:link w:val="TTULOChar"/>
    <w:qFormat/>
    <w:rsid w:val="00342A54"/>
    <w:pPr>
      <w:keepNext/>
      <w:spacing w:before="240" w:after="120" w:line="360" w:lineRule="auto"/>
      <w:jc w:val="both"/>
    </w:pPr>
    <w:rPr>
      <w:rFonts w:ascii="Arial" w:hAnsi="Arial" w:cs="Arial"/>
      <w:b/>
      <w:sz w:val="24"/>
    </w:rPr>
  </w:style>
  <w:style w:type="character" w:customStyle="1" w:styleId="PargrafodaListaChar">
    <w:name w:val="Parágrafo da Lista Char"/>
    <w:basedOn w:val="Fontepargpadro"/>
    <w:link w:val="PargrafodaLista"/>
    <w:uiPriority w:val="34"/>
    <w:rsid w:val="00342A54"/>
  </w:style>
  <w:style w:type="character" w:customStyle="1" w:styleId="CAPTULOChar">
    <w:name w:val="CAPÍTULO Char"/>
    <w:basedOn w:val="PargrafodaListaChar"/>
    <w:link w:val="CAPTULO"/>
    <w:rsid w:val="00342A54"/>
    <w:rPr>
      <w:rFonts w:ascii="Arial" w:hAnsi="Arial" w:cs="Arial"/>
      <w:b/>
      <w:sz w:val="32"/>
    </w:rPr>
  </w:style>
  <w:style w:type="paragraph" w:customStyle="1" w:styleId="SUB-TTULO1">
    <w:name w:val="SUB-TÍTULO_1"/>
    <w:basedOn w:val="PargrafodaLista"/>
    <w:link w:val="SUB-TTULO1Char"/>
    <w:qFormat/>
    <w:rsid w:val="00342A54"/>
    <w:pPr>
      <w:keepNext/>
      <w:numPr>
        <w:numId w:val="2"/>
      </w:numPr>
      <w:spacing w:before="240" w:after="120" w:line="360" w:lineRule="auto"/>
      <w:contextualSpacing w:val="0"/>
      <w:jc w:val="both"/>
    </w:pPr>
    <w:rPr>
      <w:rFonts w:ascii="Arial" w:hAnsi="Arial" w:cs="Arial"/>
      <w:b/>
      <w:sz w:val="24"/>
    </w:rPr>
  </w:style>
  <w:style w:type="character" w:customStyle="1" w:styleId="TTULOChar">
    <w:name w:val="TÍTULO Char"/>
    <w:basedOn w:val="Fontepargpadro"/>
    <w:link w:val="TTULO"/>
    <w:rsid w:val="00342A54"/>
    <w:rPr>
      <w:rFonts w:ascii="Arial" w:hAnsi="Arial" w:cs="Arial"/>
      <w:b/>
      <w:sz w:val="24"/>
    </w:rPr>
  </w:style>
  <w:style w:type="character" w:customStyle="1" w:styleId="Ttulo1Char">
    <w:name w:val="Título 1 Char"/>
    <w:basedOn w:val="Fontepargpadro"/>
    <w:link w:val="Ttulo1"/>
    <w:uiPriority w:val="9"/>
    <w:rsid w:val="00974796"/>
    <w:rPr>
      <w:rFonts w:asciiTheme="majorHAnsi" w:eastAsiaTheme="majorEastAsia" w:hAnsiTheme="majorHAnsi" w:cstheme="majorBidi"/>
      <w:color w:val="2E74B5" w:themeColor="accent1" w:themeShade="BF"/>
      <w:sz w:val="32"/>
      <w:szCs w:val="32"/>
    </w:rPr>
  </w:style>
  <w:style w:type="character" w:customStyle="1" w:styleId="SUB-TTULO1Char">
    <w:name w:val="SUB-TÍTULO_1 Char"/>
    <w:basedOn w:val="PargrafodaListaChar"/>
    <w:link w:val="SUB-TTULO1"/>
    <w:rsid w:val="00342A54"/>
    <w:rPr>
      <w:rFonts w:ascii="Arial" w:hAnsi="Arial" w:cs="Arial"/>
      <w:b/>
      <w:sz w:val="24"/>
    </w:rPr>
  </w:style>
  <w:style w:type="character" w:customStyle="1" w:styleId="Ttulo2Char">
    <w:name w:val="Título 2 Char"/>
    <w:basedOn w:val="Fontepargpadro"/>
    <w:link w:val="Ttulo2"/>
    <w:uiPriority w:val="9"/>
    <w:semiHidden/>
    <w:rsid w:val="00974796"/>
    <w:rPr>
      <w:rFonts w:asciiTheme="majorHAnsi" w:eastAsiaTheme="majorEastAsia" w:hAnsiTheme="majorHAnsi" w:cstheme="majorBidi"/>
      <w:color w:val="2E74B5" w:themeColor="accent1" w:themeShade="BF"/>
      <w:sz w:val="26"/>
      <w:szCs w:val="26"/>
    </w:rPr>
  </w:style>
  <w:style w:type="character" w:customStyle="1" w:styleId="Ttulo3Char">
    <w:name w:val="Título 3 Char"/>
    <w:basedOn w:val="Fontepargpadro"/>
    <w:link w:val="Ttulo3"/>
    <w:uiPriority w:val="9"/>
    <w:semiHidden/>
    <w:rsid w:val="00974796"/>
    <w:rPr>
      <w:rFonts w:asciiTheme="majorHAnsi" w:eastAsiaTheme="majorEastAsia" w:hAnsiTheme="majorHAnsi" w:cstheme="majorBidi"/>
      <w:color w:val="1F4D78" w:themeColor="accent1" w:themeShade="7F"/>
      <w:sz w:val="24"/>
      <w:szCs w:val="24"/>
    </w:rPr>
  </w:style>
  <w:style w:type="paragraph" w:styleId="Sumrio1">
    <w:name w:val="toc 1"/>
    <w:basedOn w:val="Normal"/>
    <w:next w:val="Normal"/>
    <w:autoRedefine/>
    <w:uiPriority w:val="39"/>
    <w:unhideWhenUsed/>
    <w:rsid w:val="003A28D4"/>
    <w:pPr>
      <w:tabs>
        <w:tab w:val="right" w:pos="1321"/>
        <w:tab w:val="right" w:leader="dot" w:pos="9344"/>
      </w:tabs>
      <w:spacing w:before="240" w:after="0" w:line="240" w:lineRule="auto"/>
    </w:pPr>
    <w:rPr>
      <w:rFonts w:ascii="Arial" w:hAnsi="Arial"/>
      <w:b/>
      <w:bCs/>
      <w:szCs w:val="24"/>
    </w:rPr>
  </w:style>
  <w:style w:type="paragraph" w:styleId="Sumrio2">
    <w:name w:val="toc 2"/>
    <w:basedOn w:val="Normal"/>
    <w:next w:val="Normal"/>
    <w:autoRedefine/>
    <w:uiPriority w:val="39"/>
    <w:unhideWhenUsed/>
    <w:rsid w:val="003A28D4"/>
    <w:pPr>
      <w:tabs>
        <w:tab w:val="left" w:pos="454"/>
        <w:tab w:val="left" w:pos="1077"/>
        <w:tab w:val="right" w:leader="dot" w:pos="9344"/>
      </w:tabs>
      <w:spacing w:before="120" w:after="0" w:line="240" w:lineRule="auto"/>
    </w:pPr>
    <w:rPr>
      <w:rFonts w:ascii="Arial" w:hAnsi="Arial"/>
      <w:b/>
      <w:bCs/>
      <w:sz w:val="20"/>
      <w:szCs w:val="20"/>
    </w:rPr>
  </w:style>
  <w:style w:type="paragraph" w:styleId="Sumrio3">
    <w:name w:val="toc 3"/>
    <w:basedOn w:val="Normal"/>
    <w:next w:val="Normal"/>
    <w:autoRedefine/>
    <w:uiPriority w:val="39"/>
    <w:unhideWhenUsed/>
    <w:rsid w:val="0071301D"/>
    <w:pPr>
      <w:spacing w:after="0"/>
      <w:ind w:left="220"/>
    </w:pPr>
    <w:rPr>
      <w:rFonts w:ascii="Arial" w:hAnsi="Arial"/>
      <w:i/>
      <w:sz w:val="20"/>
      <w:szCs w:val="20"/>
    </w:rPr>
  </w:style>
  <w:style w:type="paragraph" w:styleId="Sumrio4">
    <w:name w:val="toc 4"/>
    <w:basedOn w:val="Normal"/>
    <w:next w:val="Normal"/>
    <w:autoRedefine/>
    <w:uiPriority w:val="39"/>
    <w:unhideWhenUsed/>
    <w:rsid w:val="00A17A73"/>
    <w:pPr>
      <w:spacing w:after="0"/>
      <w:ind w:left="440"/>
    </w:pPr>
    <w:rPr>
      <w:sz w:val="20"/>
      <w:szCs w:val="20"/>
    </w:rPr>
  </w:style>
  <w:style w:type="paragraph" w:styleId="Sumrio5">
    <w:name w:val="toc 5"/>
    <w:basedOn w:val="Normal"/>
    <w:next w:val="Normal"/>
    <w:autoRedefine/>
    <w:uiPriority w:val="39"/>
    <w:unhideWhenUsed/>
    <w:rsid w:val="00A17A73"/>
    <w:pPr>
      <w:spacing w:after="0"/>
      <w:ind w:left="660"/>
    </w:pPr>
    <w:rPr>
      <w:sz w:val="20"/>
      <w:szCs w:val="20"/>
    </w:rPr>
  </w:style>
  <w:style w:type="paragraph" w:styleId="Sumrio6">
    <w:name w:val="toc 6"/>
    <w:basedOn w:val="Normal"/>
    <w:next w:val="Normal"/>
    <w:autoRedefine/>
    <w:uiPriority w:val="39"/>
    <w:unhideWhenUsed/>
    <w:rsid w:val="00A17A73"/>
    <w:pPr>
      <w:spacing w:after="0"/>
      <w:ind w:left="880"/>
    </w:pPr>
    <w:rPr>
      <w:sz w:val="20"/>
      <w:szCs w:val="20"/>
    </w:rPr>
  </w:style>
  <w:style w:type="paragraph" w:styleId="Sumrio7">
    <w:name w:val="toc 7"/>
    <w:basedOn w:val="Normal"/>
    <w:next w:val="Normal"/>
    <w:autoRedefine/>
    <w:uiPriority w:val="39"/>
    <w:unhideWhenUsed/>
    <w:rsid w:val="00A17A73"/>
    <w:pPr>
      <w:spacing w:after="0"/>
      <w:ind w:left="1100"/>
    </w:pPr>
    <w:rPr>
      <w:sz w:val="20"/>
      <w:szCs w:val="20"/>
    </w:rPr>
  </w:style>
  <w:style w:type="paragraph" w:styleId="Sumrio8">
    <w:name w:val="toc 8"/>
    <w:basedOn w:val="Normal"/>
    <w:next w:val="Normal"/>
    <w:autoRedefine/>
    <w:uiPriority w:val="39"/>
    <w:unhideWhenUsed/>
    <w:rsid w:val="00A17A73"/>
    <w:pPr>
      <w:spacing w:after="0"/>
      <w:ind w:left="1320"/>
    </w:pPr>
    <w:rPr>
      <w:sz w:val="20"/>
      <w:szCs w:val="20"/>
    </w:rPr>
  </w:style>
  <w:style w:type="paragraph" w:styleId="Sumrio9">
    <w:name w:val="toc 9"/>
    <w:basedOn w:val="Normal"/>
    <w:next w:val="Normal"/>
    <w:autoRedefine/>
    <w:uiPriority w:val="39"/>
    <w:unhideWhenUsed/>
    <w:rsid w:val="00A17A73"/>
    <w:pPr>
      <w:spacing w:after="0"/>
      <w:ind w:left="1540"/>
    </w:pPr>
    <w:rPr>
      <w:sz w:val="20"/>
      <w:szCs w:val="20"/>
    </w:rPr>
  </w:style>
  <w:style w:type="paragraph" w:customStyle="1" w:styleId="SUB-TTULO2">
    <w:name w:val="SUB-TÍTULO_2"/>
    <w:basedOn w:val="SUB-TTULO1"/>
    <w:link w:val="SUB-TTULO2Char"/>
    <w:qFormat/>
    <w:rsid w:val="00A17A73"/>
    <w:pPr>
      <w:numPr>
        <w:ilvl w:val="1"/>
      </w:numPr>
    </w:pPr>
  </w:style>
  <w:style w:type="paragraph" w:customStyle="1" w:styleId="CAPTULO2">
    <w:name w:val="CAPÍTULO_2"/>
    <w:basedOn w:val="Normal"/>
    <w:link w:val="CAPTULO2Char"/>
    <w:qFormat/>
    <w:rsid w:val="00A17A73"/>
    <w:pPr>
      <w:keepNext/>
      <w:spacing w:after="0" w:line="360" w:lineRule="auto"/>
      <w:jc w:val="center"/>
    </w:pPr>
    <w:rPr>
      <w:rFonts w:ascii="Arial" w:hAnsi="Arial" w:cs="Arial"/>
      <w:b/>
      <w:sz w:val="32"/>
    </w:rPr>
  </w:style>
  <w:style w:type="character" w:customStyle="1" w:styleId="SUB-TTULO2Char">
    <w:name w:val="SUB-TÍTULO_2 Char"/>
    <w:basedOn w:val="SUB-TTULO1Char"/>
    <w:link w:val="SUB-TTULO2"/>
    <w:rsid w:val="00A17A73"/>
    <w:rPr>
      <w:rFonts w:ascii="Arial" w:hAnsi="Arial" w:cs="Arial"/>
      <w:b/>
      <w:sz w:val="24"/>
    </w:rPr>
  </w:style>
  <w:style w:type="paragraph" w:customStyle="1" w:styleId="FIGURA">
    <w:name w:val="FIGURA"/>
    <w:basedOn w:val="PargrafodaLista"/>
    <w:link w:val="FIGURAChar"/>
    <w:qFormat/>
    <w:rsid w:val="006726C6"/>
    <w:pPr>
      <w:keepNext/>
      <w:numPr>
        <w:numId w:val="1"/>
      </w:numPr>
      <w:spacing w:before="240" w:after="120" w:line="240" w:lineRule="auto"/>
      <w:ind w:left="0" w:firstLine="567"/>
      <w:contextualSpacing w:val="0"/>
      <w:jc w:val="center"/>
    </w:pPr>
    <w:rPr>
      <w:rFonts w:ascii="Arial" w:hAnsi="Arial" w:cs="Arial"/>
    </w:rPr>
  </w:style>
  <w:style w:type="character" w:customStyle="1" w:styleId="CAPTULO2Char">
    <w:name w:val="CAPÍTULO_2 Char"/>
    <w:basedOn w:val="Fontepargpadro"/>
    <w:link w:val="CAPTULO2"/>
    <w:rsid w:val="00A17A73"/>
    <w:rPr>
      <w:rFonts w:ascii="Arial" w:hAnsi="Arial" w:cs="Arial"/>
      <w:b/>
      <w:sz w:val="32"/>
    </w:rPr>
  </w:style>
  <w:style w:type="paragraph" w:customStyle="1" w:styleId="TABELA">
    <w:name w:val="TABELA"/>
    <w:basedOn w:val="PargrafodaLista"/>
    <w:link w:val="TABELAChar"/>
    <w:qFormat/>
    <w:rsid w:val="006726C6"/>
    <w:pPr>
      <w:keepNext/>
      <w:numPr>
        <w:numId w:val="3"/>
      </w:numPr>
      <w:spacing w:before="240" w:after="120" w:line="240" w:lineRule="auto"/>
      <w:ind w:left="567" w:firstLine="0"/>
      <w:contextualSpacing w:val="0"/>
      <w:jc w:val="center"/>
    </w:pPr>
    <w:rPr>
      <w:rFonts w:ascii="Arial" w:hAnsi="Arial" w:cs="Arial"/>
    </w:rPr>
  </w:style>
  <w:style w:type="character" w:customStyle="1" w:styleId="FIGURAChar">
    <w:name w:val="FIGURA Char"/>
    <w:basedOn w:val="PargrafodaListaChar"/>
    <w:link w:val="FIGURA"/>
    <w:rsid w:val="006726C6"/>
    <w:rPr>
      <w:rFonts w:ascii="Arial" w:hAnsi="Arial" w:cs="Arial"/>
    </w:rPr>
  </w:style>
  <w:style w:type="paragraph" w:styleId="Cabealho">
    <w:name w:val="header"/>
    <w:basedOn w:val="Normal"/>
    <w:link w:val="CabealhoChar"/>
    <w:uiPriority w:val="99"/>
    <w:unhideWhenUsed/>
    <w:rsid w:val="0078468E"/>
    <w:pPr>
      <w:tabs>
        <w:tab w:val="center" w:pos="4252"/>
        <w:tab w:val="right" w:pos="8504"/>
      </w:tabs>
      <w:spacing w:after="0" w:line="240" w:lineRule="auto"/>
    </w:pPr>
  </w:style>
  <w:style w:type="character" w:customStyle="1" w:styleId="TABELAChar">
    <w:name w:val="TABELA Char"/>
    <w:basedOn w:val="PargrafodaListaChar"/>
    <w:link w:val="TABELA"/>
    <w:rsid w:val="006726C6"/>
    <w:rPr>
      <w:rFonts w:ascii="Arial" w:hAnsi="Arial" w:cs="Arial"/>
    </w:rPr>
  </w:style>
  <w:style w:type="character" w:customStyle="1" w:styleId="CabealhoChar">
    <w:name w:val="Cabeçalho Char"/>
    <w:basedOn w:val="Fontepargpadro"/>
    <w:link w:val="Cabealho"/>
    <w:uiPriority w:val="99"/>
    <w:rsid w:val="0078468E"/>
  </w:style>
  <w:style w:type="paragraph" w:styleId="Rodap">
    <w:name w:val="footer"/>
    <w:basedOn w:val="Normal"/>
    <w:link w:val="RodapChar"/>
    <w:uiPriority w:val="99"/>
    <w:unhideWhenUsed/>
    <w:rsid w:val="0078468E"/>
    <w:pPr>
      <w:tabs>
        <w:tab w:val="center" w:pos="4252"/>
        <w:tab w:val="right" w:pos="8504"/>
      </w:tabs>
      <w:spacing w:after="0" w:line="240" w:lineRule="auto"/>
    </w:pPr>
  </w:style>
  <w:style w:type="character" w:customStyle="1" w:styleId="RodapChar">
    <w:name w:val="Rodapé Char"/>
    <w:basedOn w:val="Fontepargpadro"/>
    <w:link w:val="Rodap"/>
    <w:uiPriority w:val="99"/>
    <w:rsid w:val="0078468E"/>
  </w:style>
  <w:style w:type="paragraph" w:customStyle="1" w:styleId="FONTEFIG-TAB">
    <w:name w:val="FONTE_FIG-TAB"/>
    <w:basedOn w:val="Normal"/>
    <w:link w:val="FONTEFIG-TABChar"/>
    <w:qFormat/>
    <w:rsid w:val="001803F7"/>
    <w:pPr>
      <w:spacing w:after="240" w:line="240" w:lineRule="auto"/>
      <w:jc w:val="right"/>
    </w:pPr>
    <w:rPr>
      <w:rFonts w:ascii="Arial" w:hAnsi="Arial" w:cs="Arial"/>
      <w:sz w:val="20"/>
    </w:rPr>
  </w:style>
  <w:style w:type="paragraph" w:customStyle="1" w:styleId="TEXTO-SIMPLES">
    <w:name w:val="TEXTO-SIMPLES"/>
    <w:basedOn w:val="Normal"/>
    <w:link w:val="TEXTO-SIMPLESChar"/>
    <w:qFormat/>
    <w:rsid w:val="00054169"/>
    <w:pPr>
      <w:spacing w:after="0" w:line="360" w:lineRule="auto"/>
      <w:ind w:firstLine="567"/>
      <w:jc w:val="both"/>
    </w:pPr>
    <w:rPr>
      <w:rFonts w:ascii="Arial" w:hAnsi="Arial" w:cs="Arial"/>
    </w:rPr>
  </w:style>
  <w:style w:type="character" w:customStyle="1" w:styleId="FONTEFIG-TABChar">
    <w:name w:val="FONTE_FIG-TAB Char"/>
    <w:basedOn w:val="Fontepargpadro"/>
    <w:link w:val="FONTEFIG-TAB"/>
    <w:rsid w:val="001803F7"/>
    <w:rPr>
      <w:rFonts w:ascii="Arial" w:hAnsi="Arial" w:cs="Arial"/>
      <w:sz w:val="20"/>
    </w:rPr>
  </w:style>
  <w:style w:type="paragraph" w:customStyle="1" w:styleId="CITAO">
    <w:name w:val="CITAÇÃO"/>
    <w:basedOn w:val="Normal"/>
    <w:link w:val="CITAOChar"/>
    <w:qFormat/>
    <w:rsid w:val="00C37F98"/>
    <w:pPr>
      <w:spacing w:after="0" w:line="240" w:lineRule="auto"/>
      <w:ind w:left="2268"/>
      <w:jc w:val="both"/>
    </w:pPr>
    <w:rPr>
      <w:rFonts w:ascii="Arial" w:hAnsi="Arial" w:cs="Arial"/>
      <w:sz w:val="20"/>
    </w:rPr>
  </w:style>
  <w:style w:type="character" w:customStyle="1" w:styleId="TEXTO-SIMPLESChar">
    <w:name w:val="TEXTO-SIMPLES Char"/>
    <w:basedOn w:val="Fontepargpadro"/>
    <w:link w:val="TEXTO-SIMPLES"/>
    <w:rsid w:val="00054169"/>
    <w:rPr>
      <w:rFonts w:ascii="Arial" w:hAnsi="Arial" w:cs="Arial"/>
    </w:rPr>
  </w:style>
  <w:style w:type="character" w:customStyle="1" w:styleId="CITAOChar">
    <w:name w:val="CITAÇÃO Char"/>
    <w:basedOn w:val="Fontepargpadro"/>
    <w:link w:val="CITAO"/>
    <w:rsid w:val="00C37F98"/>
    <w:rPr>
      <w:rFonts w:ascii="Arial" w:hAnsi="Arial" w:cs="Arial"/>
      <w:sz w:val="20"/>
    </w:rPr>
  </w:style>
  <w:style w:type="character" w:styleId="TextodoEspaoReservado">
    <w:name w:val="Placeholder Text"/>
    <w:basedOn w:val="Fontepargpadro"/>
    <w:uiPriority w:val="99"/>
    <w:semiHidden/>
    <w:rsid w:val="0084384B"/>
    <w:rPr>
      <w:color w:val="808080"/>
    </w:rPr>
  </w:style>
  <w:style w:type="paragraph" w:customStyle="1" w:styleId="EQUAO">
    <w:name w:val="EQUAÇÃO"/>
    <w:basedOn w:val="TEXTO-SIMPLES"/>
    <w:link w:val="EQUAOChar"/>
    <w:qFormat/>
    <w:rsid w:val="0084384B"/>
    <w:pPr>
      <w:numPr>
        <w:numId w:val="8"/>
      </w:numPr>
      <w:spacing w:before="120" w:after="120" w:line="240" w:lineRule="auto"/>
      <w:jc w:val="right"/>
    </w:pPr>
  </w:style>
  <w:style w:type="character" w:customStyle="1" w:styleId="EQUAOChar">
    <w:name w:val="EQUAÇÃO Char"/>
    <w:basedOn w:val="TEXTO-SIMPLESChar"/>
    <w:link w:val="EQUAO"/>
    <w:rsid w:val="0084384B"/>
    <w:rPr>
      <w:rFonts w:ascii="Arial" w:hAnsi="Arial" w:cs="Arial"/>
    </w:rPr>
  </w:style>
  <w:style w:type="character" w:styleId="HiperlinkVisitado">
    <w:name w:val="FollowedHyperlink"/>
    <w:basedOn w:val="Fontepargpadro"/>
    <w:uiPriority w:val="99"/>
    <w:semiHidden/>
    <w:unhideWhenUsed/>
    <w:rsid w:val="00046247"/>
    <w:rPr>
      <w:color w:val="954F72" w:themeColor="followedHyperlink"/>
      <w:u w:val="single"/>
    </w:rPr>
  </w:style>
  <w:style w:type="paragraph" w:customStyle="1" w:styleId="EXERCCIOS">
    <w:name w:val="EXERCÍCIOS"/>
    <w:basedOn w:val="TEXTO-SIMPLES"/>
    <w:link w:val="EXERCCIOSChar"/>
    <w:qFormat/>
    <w:rsid w:val="009B6EA4"/>
    <w:pPr>
      <w:numPr>
        <w:numId w:val="9"/>
      </w:numPr>
      <w:spacing w:before="120"/>
    </w:pPr>
  </w:style>
  <w:style w:type="paragraph" w:styleId="CabealhodoSumrio">
    <w:name w:val="TOC Heading"/>
    <w:basedOn w:val="Ttulo1"/>
    <w:next w:val="Normal"/>
    <w:uiPriority w:val="39"/>
    <w:unhideWhenUsed/>
    <w:qFormat/>
    <w:rsid w:val="009B6EA4"/>
    <w:pPr>
      <w:outlineLvl w:val="9"/>
    </w:pPr>
    <w:rPr>
      <w:lang w:eastAsia="pt-BR"/>
    </w:rPr>
  </w:style>
  <w:style w:type="character" w:customStyle="1" w:styleId="EXERCCIOSChar">
    <w:name w:val="EXERCÍCIOS Char"/>
    <w:basedOn w:val="TEXTO-SIMPLESChar"/>
    <w:link w:val="EXERCCIOS"/>
    <w:rsid w:val="009B6EA4"/>
    <w:rPr>
      <w:rFonts w:ascii="Arial" w:hAnsi="Arial" w:cs="Arial"/>
    </w:rPr>
  </w:style>
  <w:style w:type="paragraph" w:customStyle="1" w:styleId="Sumrio0">
    <w:name w:val="Sumário 0"/>
    <w:basedOn w:val="Sumrio1"/>
    <w:qFormat/>
    <w:rsid w:val="00B01C8D"/>
    <w:rPr>
      <w:noProof/>
    </w:rPr>
  </w:style>
  <w:style w:type="paragraph" w:styleId="NormalWeb">
    <w:name w:val="Normal (Web)"/>
    <w:basedOn w:val="Normal"/>
    <w:uiPriority w:val="99"/>
    <w:semiHidden/>
    <w:unhideWhenUsed/>
    <w:rsid w:val="00DB538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B538B"/>
    <w:rPr>
      <w:b/>
      <w:bCs/>
    </w:rPr>
  </w:style>
  <w:style w:type="paragraph" w:styleId="Textodenotaderodap">
    <w:name w:val="footnote text"/>
    <w:basedOn w:val="Normal"/>
    <w:link w:val="TextodenotaderodapChar"/>
    <w:uiPriority w:val="99"/>
    <w:semiHidden/>
    <w:unhideWhenUsed/>
    <w:rsid w:val="00EB1DB7"/>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EB1DB7"/>
    <w:rPr>
      <w:sz w:val="20"/>
      <w:szCs w:val="20"/>
    </w:rPr>
  </w:style>
  <w:style w:type="character" w:styleId="Refdenotaderodap">
    <w:name w:val="footnote reference"/>
    <w:basedOn w:val="Fontepargpadro"/>
    <w:uiPriority w:val="99"/>
    <w:semiHidden/>
    <w:unhideWhenUsed/>
    <w:rsid w:val="00EB1DB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2982109">
      <w:bodyDiv w:val="1"/>
      <w:marLeft w:val="0"/>
      <w:marRight w:val="0"/>
      <w:marTop w:val="0"/>
      <w:marBottom w:val="0"/>
      <w:divBdr>
        <w:top w:val="none" w:sz="0" w:space="0" w:color="auto"/>
        <w:left w:val="none" w:sz="0" w:space="0" w:color="auto"/>
        <w:bottom w:val="none" w:sz="0" w:space="0" w:color="auto"/>
        <w:right w:val="none" w:sz="0" w:space="0" w:color="auto"/>
      </w:divBdr>
    </w:div>
    <w:div w:id="773406136">
      <w:bodyDiv w:val="1"/>
      <w:marLeft w:val="0"/>
      <w:marRight w:val="0"/>
      <w:marTop w:val="0"/>
      <w:marBottom w:val="0"/>
      <w:divBdr>
        <w:top w:val="none" w:sz="0" w:space="0" w:color="auto"/>
        <w:left w:val="none" w:sz="0" w:space="0" w:color="auto"/>
        <w:bottom w:val="none" w:sz="0" w:space="0" w:color="auto"/>
        <w:right w:val="none" w:sz="0" w:space="0" w:color="auto"/>
      </w:divBdr>
    </w:div>
    <w:div w:id="963117985">
      <w:bodyDiv w:val="1"/>
      <w:marLeft w:val="0"/>
      <w:marRight w:val="0"/>
      <w:marTop w:val="0"/>
      <w:marBottom w:val="0"/>
      <w:divBdr>
        <w:top w:val="none" w:sz="0" w:space="0" w:color="auto"/>
        <w:left w:val="none" w:sz="0" w:space="0" w:color="auto"/>
        <w:bottom w:val="none" w:sz="0" w:space="0" w:color="auto"/>
        <w:right w:val="none" w:sz="0" w:space="0" w:color="auto"/>
      </w:divBdr>
    </w:div>
    <w:div w:id="1252081565">
      <w:bodyDiv w:val="1"/>
      <w:marLeft w:val="0"/>
      <w:marRight w:val="0"/>
      <w:marTop w:val="0"/>
      <w:marBottom w:val="0"/>
      <w:divBdr>
        <w:top w:val="none" w:sz="0" w:space="0" w:color="auto"/>
        <w:left w:val="none" w:sz="0" w:space="0" w:color="auto"/>
        <w:bottom w:val="none" w:sz="0" w:space="0" w:color="auto"/>
        <w:right w:val="none" w:sz="0" w:space="0" w:color="auto"/>
      </w:divBdr>
    </w:div>
    <w:div w:id="1396507764">
      <w:bodyDiv w:val="1"/>
      <w:marLeft w:val="0"/>
      <w:marRight w:val="0"/>
      <w:marTop w:val="0"/>
      <w:marBottom w:val="0"/>
      <w:divBdr>
        <w:top w:val="none" w:sz="0" w:space="0" w:color="auto"/>
        <w:left w:val="none" w:sz="0" w:space="0" w:color="auto"/>
        <w:bottom w:val="none" w:sz="0" w:space="0" w:color="auto"/>
        <w:right w:val="none" w:sz="0" w:space="0" w:color="auto"/>
      </w:divBdr>
    </w:div>
    <w:div w:id="1462307117">
      <w:bodyDiv w:val="1"/>
      <w:marLeft w:val="0"/>
      <w:marRight w:val="0"/>
      <w:marTop w:val="0"/>
      <w:marBottom w:val="0"/>
      <w:divBdr>
        <w:top w:val="none" w:sz="0" w:space="0" w:color="auto"/>
        <w:left w:val="none" w:sz="0" w:space="0" w:color="auto"/>
        <w:bottom w:val="none" w:sz="0" w:space="0" w:color="auto"/>
        <w:right w:val="none" w:sz="0" w:space="0" w:color="auto"/>
      </w:divBdr>
    </w:div>
    <w:div w:id="1492062405">
      <w:bodyDiv w:val="1"/>
      <w:marLeft w:val="0"/>
      <w:marRight w:val="0"/>
      <w:marTop w:val="0"/>
      <w:marBottom w:val="0"/>
      <w:divBdr>
        <w:top w:val="none" w:sz="0" w:space="0" w:color="auto"/>
        <w:left w:val="none" w:sz="0" w:space="0" w:color="auto"/>
        <w:bottom w:val="none" w:sz="0" w:space="0" w:color="auto"/>
        <w:right w:val="none" w:sz="0" w:space="0" w:color="auto"/>
      </w:divBdr>
    </w:div>
    <w:div w:id="16895239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hyperlink" Target="http://www.abnt.org.br/" TargetMode="Externa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hyperlink" Target="file:///C:\Users\Rodrigo%20(local)\AppData\Local\Temp\Dispon&#237;ve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Mains_electricity_by_country" TargetMode="External"/><Relationship Id="rId23" Type="http://schemas.openxmlformats.org/officeDocument/2006/relationships/image" Target="media/image14.jpeg"/><Relationship Id="rId28" Type="http://schemas.openxmlformats.org/officeDocument/2006/relationships/hyperlink" Target="https://pt.wikipedia.org/wiki/Eletromiografia" TargetMode="Externa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hyperlink" Target="https://pt.wikipedia.org/wiki/Eletroencefalografia"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crp.org/publication.asp?id=icrp%20publication%2060"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8.jpeg"/><Relationship Id="rId1" Type="http://schemas.openxmlformats.org/officeDocument/2006/relationships/image" Target="media/image17.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8768A-ACD5-4B66-B543-176F52381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28</Pages>
  <Words>7633</Words>
  <Characters>41221</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48757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Rodrigo P.B. Costa-Felix</dc:creator>
  <cp:keywords/>
  <dc:description/>
  <cp:lastModifiedBy>Aline Marques Rodrigues</cp:lastModifiedBy>
  <cp:revision>27</cp:revision>
  <cp:lastPrinted>2020-02-11T21:40:00Z</cp:lastPrinted>
  <dcterms:created xsi:type="dcterms:W3CDTF">2017-05-08T18:16:00Z</dcterms:created>
  <dcterms:modified xsi:type="dcterms:W3CDTF">2020-02-11T21:40:00Z</dcterms:modified>
</cp:coreProperties>
</file>