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E22BE" w14:textId="14E88AF9" w:rsidR="005B0503" w:rsidRPr="00611C61" w:rsidRDefault="00AC2326" w:rsidP="00EA63CA">
      <w:pPr>
        <w:pStyle w:val="Corpodetexto"/>
        <w:spacing w:before="120" w:after="240" w:line="360" w:lineRule="auto"/>
        <w:ind w:left="0"/>
        <w:jc w:val="both"/>
        <w:rPr>
          <w:rFonts w:asciiTheme="majorHAnsi" w:hAnsiTheme="majorHAnsi" w:cstheme="majorHAnsi"/>
          <w:color w:val="333333"/>
          <w:sz w:val="22"/>
          <w:szCs w:val="22"/>
        </w:rPr>
      </w:pPr>
      <w:bookmarkStart w:id="0" w:name="_Toc525223752"/>
      <w:bookmarkStart w:id="1" w:name="_GoBack"/>
      <w:bookmarkEnd w:id="1"/>
      <w:r w:rsidRPr="00AC2326">
        <w:rPr>
          <w:rFonts w:asciiTheme="majorHAnsi" w:hAnsiTheme="majorHAnsi" w:cstheme="majorHAnsi"/>
          <w:noProof/>
          <w:color w:val="333333"/>
          <w:sz w:val="22"/>
          <w:szCs w:val="22"/>
          <w:lang w:eastAsia="pt-BR"/>
        </w:rPr>
        <w:drawing>
          <wp:anchor distT="0" distB="0" distL="114300" distR="114300" simplePos="0" relativeHeight="251663872" behindDoc="1" locked="0" layoutInCell="1" allowOverlap="1" wp14:anchorId="14B55342" wp14:editId="44F8B651">
            <wp:simplePos x="0" y="0"/>
            <wp:positionH relativeFrom="page">
              <wp:align>left</wp:align>
            </wp:positionH>
            <wp:positionV relativeFrom="paragraph">
              <wp:posOffset>-900430</wp:posOffset>
            </wp:positionV>
            <wp:extent cx="7544947" cy="10668000"/>
            <wp:effectExtent l="0" t="0" r="0" b="0"/>
            <wp:wrapNone/>
            <wp:docPr id="2" name="Imagem 2" descr="C:\Users\Aline\Dropbox\2 - Projeto Entib\Capas novas Entib\Fundamentos da TIB\Módulo_01\CAPA_apostila_FAML_1_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ropbox\2 - Projeto Entib\Capas novas Entib\Fundamentos da TIB\Módulo_01\CAPA_apostila_FAML_1_A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342" cy="106770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79DCD"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12FDA5F4"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27D44B5F"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165C4B2A"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6DBC40F4"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6A14C168"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394C9ADB"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4ADDA8DC"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34A3EFF1"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1038B93C"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6B26ED9D" w14:textId="3C8FCCBC"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4F76906D"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128F911F"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28BF1ED7"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470EEA02"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223428A5"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4607F438"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3A30DD9D"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7FB29EA2" w14:textId="77777777" w:rsidR="005B0503" w:rsidRPr="00611C61" w:rsidRDefault="005B0503" w:rsidP="00EA63CA">
      <w:pPr>
        <w:pStyle w:val="Corpodetexto"/>
        <w:spacing w:before="120" w:after="240" w:line="360" w:lineRule="auto"/>
        <w:ind w:left="0"/>
        <w:jc w:val="both"/>
        <w:rPr>
          <w:rFonts w:asciiTheme="majorHAnsi" w:hAnsiTheme="majorHAnsi" w:cstheme="majorHAnsi"/>
          <w:color w:val="333333"/>
          <w:sz w:val="22"/>
          <w:szCs w:val="22"/>
        </w:rPr>
      </w:pPr>
    </w:p>
    <w:p w14:paraId="6499D6E9" w14:textId="77777777" w:rsidR="00527A68" w:rsidRPr="00611C61" w:rsidRDefault="00527A68" w:rsidP="00EA63CA">
      <w:pPr>
        <w:pStyle w:val="Corpodetexto"/>
        <w:spacing w:before="120" w:after="240" w:line="360" w:lineRule="auto"/>
        <w:ind w:left="0"/>
        <w:jc w:val="both"/>
        <w:rPr>
          <w:rFonts w:asciiTheme="majorHAnsi" w:hAnsiTheme="majorHAnsi" w:cstheme="majorHAnsi"/>
          <w:color w:val="333333"/>
          <w:sz w:val="22"/>
          <w:szCs w:val="22"/>
        </w:rPr>
        <w:sectPr w:rsidR="00527A68" w:rsidRPr="00611C61" w:rsidSect="00611C61">
          <w:footerReference w:type="default" r:id="rId9"/>
          <w:pgSz w:w="11906" w:h="16838"/>
          <w:pgMar w:top="1418" w:right="1418" w:bottom="1418" w:left="1701" w:header="708" w:footer="708" w:gutter="0"/>
          <w:cols w:space="708"/>
          <w:docGrid w:linePitch="360"/>
        </w:sectPr>
      </w:pPr>
    </w:p>
    <w:p w14:paraId="245C4553" w14:textId="77777777" w:rsidR="005B0503" w:rsidRPr="00611C61" w:rsidRDefault="005B0503" w:rsidP="00EA63CA">
      <w:pPr>
        <w:pStyle w:val="SemEspaamento"/>
        <w:spacing w:before="120" w:after="240" w:line="360" w:lineRule="auto"/>
        <w:jc w:val="both"/>
        <w:rPr>
          <w:rFonts w:asciiTheme="majorHAnsi" w:hAnsiTheme="majorHAnsi" w:cstheme="majorHAnsi"/>
          <w:sz w:val="22"/>
          <w:lang w:val="pt-BR"/>
        </w:rPr>
      </w:pPr>
    </w:p>
    <w:p w14:paraId="1E8A0ED5" w14:textId="77777777" w:rsidR="00527A68" w:rsidRPr="00611C61" w:rsidRDefault="00527A68" w:rsidP="00EA63CA">
      <w:pPr>
        <w:pStyle w:val="SemEspaamento"/>
        <w:spacing w:before="120" w:after="240" w:line="360" w:lineRule="auto"/>
        <w:jc w:val="both"/>
        <w:rPr>
          <w:rFonts w:asciiTheme="majorHAnsi" w:hAnsiTheme="majorHAnsi" w:cstheme="majorHAnsi"/>
          <w:sz w:val="22"/>
          <w:lang w:val="pt-BR"/>
        </w:rPr>
      </w:pPr>
    </w:p>
    <w:sdt>
      <w:sdtPr>
        <w:rPr>
          <w:rFonts w:eastAsiaTheme="minorHAnsi" w:cstheme="majorHAnsi"/>
          <w:b w:val="0"/>
          <w:color w:val="auto"/>
          <w:sz w:val="22"/>
          <w:szCs w:val="22"/>
          <w:lang w:val="en-US" w:eastAsia="en-US"/>
        </w:rPr>
        <w:id w:val="-1526168174"/>
        <w:docPartObj>
          <w:docPartGallery w:val="Table of Contents"/>
          <w:docPartUnique/>
        </w:docPartObj>
      </w:sdtPr>
      <w:sdtEndPr>
        <w:rPr>
          <w:rFonts w:eastAsiaTheme="majorEastAsia"/>
          <w:b/>
          <w:bCs/>
          <w:color w:val="0066B2"/>
          <w:sz w:val="20"/>
          <w:szCs w:val="20"/>
          <w:lang w:val="pt-BR"/>
        </w:rPr>
      </w:sdtEndPr>
      <w:sdtContent>
        <w:p w14:paraId="0FD9F08B" w14:textId="4751672B" w:rsidR="005B0503" w:rsidRPr="00131B13" w:rsidRDefault="005B0503" w:rsidP="00131B13">
          <w:pPr>
            <w:pStyle w:val="CabealhodoSumrio"/>
            <w:spacing w:after="240" w:line="360" w:lineRule="auto"/>
            <w:jc w:val="center"/>
            <w:rPr>
              <w:rFonts w:cstheme="majorHAnsi"/>
              <w:b w:val="0"/>
              <w:color w:val="auto"/>
              <w:sz w:val="22"/>
              <w:szCs w:val="22"/>
            </w:rPr>
          </w:pPr>
          <w:r w:rsidRPr="00611C61">
            <w:rPr>
              <w:rFonts w:cstheme="majorHAnsi"/>
            </w:rPr>
            <w:t>Sumário</w:t>
          </w:r>
        </w:p>
        <w:p w14:paraId="556D96D8" w14:textId="77777777" w:rsidR="00524FD1" w:rsidRPr="00611C61" w:rsidRDefault="00524FD1" w:rsidP="001F4EDA">
          <w:pPr>
            <w:spacing w:before="120" w:after="120"/>
            <w:jc w:val="both"/>
            <w:rPr>
              <w:rFonts w:asciiTheme="majorHAnsi" w:hAnsiTheme="majorHAnsi" w:cstheme="majorHAnsi"/>
              <w:lang w:eastAsia="pt-BR"/>
            </w:rPr>
          </w:pPr>
        </w:p>
        <w:p w14:paraId="776DC2BB" w14:textId="77777777" w:rsidR="00131B13" w:rsidRDefault="00131B13">
          <w:pPr>
            <w:pStyle w:val="Sumrio1"/>
            <w:tabs>
              <w:tab w:val="right" w:leader="dot" w:pos="8777"/>
            </w:tabs>
            <w:rPr>
              <w:rFonts w:eastAsiaTheme="minorEastAsia"/>
              <w:caps w:val="0"/>
              <w:noProof/>
              <w:lang w:eastAsia="pt-BR"/>
            </w:rPr>
          </w:pPr>
          <w:r>
            <w:rPr>
              <w:rFonts w:cstheme="majorHAnsi"/>
              <w:caps w:val="0"/>
              <w:smallCaps/>
              <w:sz w:val="20"/>
              <w:szCs w:val="20"/>
            </w:rPr>
            <w:fldChar w:fldCharType="begin"/>
          </w:r>
          <w:r>
            <w:rPr>
              <w:rFonts w:cstheme="majorHAnsi"/>
              <w:caps w:val="0"/>
              <w:smallCaps/>
              <w:sz w:val="20"/>
              <w:szCs w:val="20"/>
            </w:rPr>
            <w:instrText xml:space="preserve"> TOC \o "1-3" \h \z \u </w:instrText>
          </w:r>
          <w:r>
            <w:rPr>
              <w:rFonts w:cstheme="majorHAnsi"/>
              <w:caps w:val="0"/>
              <w:smallCaps/>
              <w:sz w:val="20"/>
              <w:szCs w:val="20"/>
            </w:rPr>
            <w:fldChar w:fldCharType="separate"/>
          </w:r>
          <w:hyperlink w:anchor="_Toc26001147" w:history="1">
            <w:r w:rsidRPr="00A20873">
              <w:rPr>
                <w:rStyle w:val="Hyperlink"/>
                <w:rFonts w:cstheme="majorHAnsi"/>
                <w:noProof/>
              </w:rPr>
              <w:t>Apresentação</w:t>
            </w:r>
            <w:r>
              <w:rPr>
                <w:noProof/>
                <w:webHidden/>
              </w:rPr>
              <w:tab/>
            </w:r>
            <w:r>
              <w:rPr>
                <w:noProof/>
                <w:webHidden/>
              </w:rPr>
              <w:fldChar w:fldCharType="begin"/>
            </w:r>
            <w:r>
              <w:rPr>
                <w:noProof/>
                <w:webHidden/>
              </w:rPr>
              <w:instrText xml:space="preserve"> PAGEREF _Toc26001147 \h </w:instrText>
            </w:r>
            <w:r>
              <w:rPr>
                <w:noProof/>
                <w:webHidden/>
              </w:rPr>
            </w:r>
            <w:r>
              <w:rPr>
                <w:noProof/>
                <w:webHidden/>
              </w:rPr>
              <w:fldChar w:fldCharType="separate"/>
            </w:r>
            <w:r w:rsidR="00596CE3">
              <w:rPr>
                <w:noProof/>
                <w:webHidden/>
              </w:rPr>
              <w:t>3</w:t>
            </w:r>
            <w:r>
              <w:rPr>
                <w:noProof/>
                <w:webHidden/>
              </w:rPr>
              <w:fldChar w:fldCharType="end"/>
            </w:r>
          </w:hyperlink>
        </w:p>
        <w:p w14:paraId="48D468C2" w14:textId="77777777" w:rsidR="00131B13" w:rsidRDefault="00224D01">
          <w:pPr>
            <w:pStyle w:val="Sumrio1"/>
            <w:tabs>
              <w:tab w:val="left" w:pos="397"/>
              <w:tab w:val="right" w:leader="dot" w:pos="8777"/>
            </w:tabs>
            <w:rPr>
              <w:rFonts w:eastAsiaTheme="minorEastAsia"/>
              <w:caps w:val="0"/>
              <w:noProof/>
              <w:lang w:eastAsia="pt-BR"/>
            </w:rPr>
          </w:pPr>
          <w:hyperlink w:anchor="_Toc26001148" w:history="1">
            <w:r w:rsidR="00131B13" w:rsidRPr="00A20873">
              <w:rPr>
                <w:rStyle w:val="Hyperlink"/>
                <w:rFonts w:cstheme="majorHAnsi"/>
                <w:noProof/>
              </w:rPr>
              <w:t>1.</w:t>
            </w:r>
            <w:r w:rsidR="00131B13">
              <w:rPr>
                <w:rFonts w:eastAsiaTheme="minorEastAsia"/>
                <w:caps w:val="0"/>
                <w:noProof/>
                <w:lang w:eastAsia="pt-BR"/>
              </w:rPr>
              <w:tab/>
            </w:r>
            <w:r w:rsidR="00131B13" w:rsidRPr="00A20873">
              <w:rPr>
                <w:rStyle w:val="Hyperlink"/>
                <w:rFonts w:cstheme="majorHAnsi"/>
                <w:noProof/>
              </w:rPr>
              <w:t>Normalização</w:t>
            </w:r>
            <w:r w:rsidR="00131B13">
              <w:rPr>
                <w:noProof/>
                <w:webHidden/>
              </w:rPr>
              <w:tab/>
            </w:r>
            <w:r w:rsidR="00131B13">
              <w:rPr>
                <w:noProof/>
                <w:webHidden/>
              </w:rPr>
              <w:fldChar w:fldCharType="begin"/>
            </w:r>
            <w:r w:rsidR="00131B13">
              <w:rPr>
                <w:noProof/>
                <w:webHidden/>
              </w:rPr>
              <w:instrText xml:space="preserve"> PAGEREF _Toc26001148 \h </w:instrText>
            </w:r>
            <w:r w:rsidR="00131B13">
              <w:rPr>
                <w:noProof/>
                <w:webHidden/>
              </w:rPr>
            </w:r>
            <w:r w:rsidR="00131B13">
              <w:rPr>
                <w:noProof/>
                <w:webHidden/>
              </w:rPr>
              <w:fldChar w:fldCharType="separate"/>
            </w:r>
            <w:r w:rsidR="00596CE3">
              <w:rPr>
                <w:noProof/>
                <w:webHidden/>
              </w:rPr>
              <w:t>4</w:t>
            </w:r>
            <w:r w:rsidR="00131B13">
              <w:rPr>
                <w:noProof/>
                <w:webHidden/>
              </w:rPr>
              <w:fldChar w:fldCharType="end"/>
            </w:r>
          </w:hyperlink>
        </w:p>
        <w:p w14:paraId="17C3B8D0" w14:textId="77777777" w:rsidR="00131B13" w:rsidRDefault="00224D01">
          <w:pPr>
            <w:pStyle w:val="Sumrio2"/>
            <w:tabs>
              <w:tab w:val="right" w:leader="dot" w:pos="8777"/>
            </w:tabs>
            <w:rPr>
              <w:rFonts w:eastAsiaTheme="minorEastAsia" w:cstheme="minorBidi"/>
              <w:smallCaps w:val="0"/>
              <w:noProof/>
              <w:sz w:val="22"/>
              <w:szCs w:val="22"/>
              <w:lang w:eastAsia="pt-BR"/>
            </w:rPr>
          </w:pPr>
          <w:hyperlink w:anchor="_Toc26001149" w:history="1">
            <w:r w:rsidR="00131B13" w:rsidRPr="00A20873">
              <w:rPr>
                <w:rStyle w:val="Hyperlink"/>
                <w:noProof/>
              </w:rPr>
              <w:t>Mas como ela surgiu?</w:t>
            </w:r>
            <w:r w:rsidR="00131B13">
              <w:rPr>
                <w:noProof/>
                <w:webHidden/>
              </w:rPr>
              <w:tab/>
            </w:r>
            <w:r w:rsidR="00131B13">
              <w:rPr>
                <w:noProof/>
                <w:webHidden/>
              </w:rPr>
              <w:fldChar w:fldCharType="begin"/>
            </w:r>
            <w:r w:rsidR="00131B13">
              <w:rPr>
                <w:noProof/>
                <w:webHidden/>
              </w:rPr>
              <w:instrText xml:space="preserve"> PAGEREF _Toc26001149 \h </w:instrText>
            </w:r>
            <w:r w:rsidR="00131B13">
              <w:rPr>
                <w:noProof/>
                <w:webHidden/>
              </w:rPr>
            </w:r>
            <w:r w:rsidR="00131B13">
              <w:rPr>
                <w:noProof/>
                <w:webHidden/>
              </w:rPr>
              <w:fldChar w:fldCharType="separate"/>
            </w:r>
            <w:r w:rsidR="00596CE3">
              <w:rPr>
                <w:noProof/>
                <w:webHidden/>
              </w:rPr>
              <w:t>4</w:t>
            </w:r>
            <w:r w:rsidR="00131B13">
              <w:rPr>
                <w:noProof/>
                <w:webHidden/>
              </w:rPr>
              <w:fldChar w:fldCharType="end"/>
            </w:r>
          </w:hyperlink>
        </w:p>
        <w:p w14:paraId="4A95D156" w14:textId="77777777" w:rsidR="00131B13" w:rsidRDefault="00224D01">
          <w:pPr>
            <w:pStyle w:val="Sumrio2"/>
            <w:tabs>
              <w:tab w:val="left" w:pos="1100"/>
              <w:tab w:val="right" w:leader="dot" w:pos="8777"/>
            </w:tabs>
            <w:rPr>
              <w:rFonts w:eastAsiaTheme="minorEastAsia" w:cstheme="minorBidi"/>
              <w:smallCaps w:val="0"/>
              <w:noProof/>
              <w:sz w:val="22"/>
              <w:szCs w:val="22"/>
              <w:lang w:eastAsia="pt-BR"/>
            </w:rPr>
          </w:pPr>
          <w:hyperlink w:anchor="_Toc26001150" w:history="1">
            <w:r w:rsidR="00131B13" w:rsidRPr="00A20873">
              <w:rPr>
                <w:rStyle w:val="Hyperlink"/>
                <w:noProof/>
              </w:rPr>
              <w:t>1.1.</w:t>
            </w:r>
            <w:r w:rsidR="00131B13">
              <w:rPr>
                <w:rFonts w:eastAsiaTheme="minorEastAsia" w:cstheme="minorBidi"/>
                <w:smallCaps w:val="0"/>
                <w:noProof/>
                <w:sz w:val="22"/>
                <w:szCs w:val="22"/>
                <w:lang w:eastAsia="pt-BR"/>
              </w:rPr>
              <w:tab/>
            </w:r>
            <w:r w:rsidR="00131B13" w:rsidRPr="00A20873">
              <w:rPr>
                <w:rStyle w:val="Hyperlink"/>
                <w:noProof/>
              </w:rPr>
              <w:t>Princípios da normalização</w:t>
            </w:r>
            <w:r w:rsidR="00131B13">
              <w:rPr>
                <w:noProof/>
                <w:webHidden/>
              </w:rPr>
              <w:tab/>
            </w:r>
            <w:r w:rsidR="00131B13">
              <w:rPr>
                <w:noProof/>
                <w:webHidden/>
              </w:rPr>
              <w:fldChar w:fldCharType="begin"/>
            </w:r>
            <w:r w:rsidR="00131B13">
              <w:rPr>
                <w:noProof/>
                <w:webHidden/>
              </w:rPr>
              <w:instrText xml:space="preserve"> PAGEREF _Toc26001150 \h </w:instrText>
            </w:r>
            <w:r w:rsidR="00131B13">
              <w:rPr>
                <w:noProof/>
                <w:webHidden/>
              </w:rPr>
            </w:r>
            <w:r w:rsidR="00131B13">
              <w:rPr>
                <w:noProof/>
                <w:webHidden/>
              </w:rPr>
              <w:fldChar w:fldCharType="separate"/>
            </w:r>
            <w:r w:rsidR="00596CE3">
              <w:rPr>
                <w:noProof/>
                <w:webHidden/>
              </w:rPr>
              <w:t>5</w:t>
            </w:r>
            <w:r w:rsidR="00131B13">
              <w:rPr>
                <w:noProof/>
                <w:webHidden/>
              </w:rPr>
              <w:fldChar w:fldCharType="end"/>
            </w:r>
          </w:hyperlink>
        </w:p>
        <w:p w14:paraId="708CBEE9" w14:textId="77777777" w:rsidR="00131B13" w:rsidRDefault="00224D01">
          <w:pPr>
            <w:pStyle w:val="Sumrio2"/>
            <w:tabs>
              <w:tab w:val="left" w:pos="1100"/>
              <w:tab w:val="right" w:leader="dot" w:pos="8777"/>
            </w:tabs>
            <w:rPr>
              <w:rFonts w:eastAsiaTheme="minorEastAsia" w:cstheme="minorBidi"/>
              <w:smallCaps w:val="0"/>
              <w:noProof/>
              <w:sz w:val="22"/>
              <w:szCs w:val="22"/>
              <w:lang w:eastAsia="pt-BR"/>
            </w:rPr>
          </w:pPr>
          <w:hyperlink w:anchor="_Toc26001151" w:history="1">
            <w:r w:rsidR="00131B13" w:rsidRPr="00A20873">
              <w:rPr>
                <w:rStyle w:val="Hyperlink"/>
                <w:noProof/>
              </w:rPr>
              <w:t>1.2.</w:t>
            </w:r>
            <w:r w:rsidR="00131B13">
              <w:rPr>
                <w:rFonts w:eastAsiaTheme="minorEastAsia" w:cstheme="minorBidi"/>
                <w:smallCaps w:val="0"/>
                <w:noProof/>
                <w:sz w:val="22"/>
                <w:szCs w:val="22"/>
                <w:lang w:eastAsia="pt-BR"/>
              </w:rPr>
              <w:tab/>
            </w:r>
            <w:r w:rsidR="00131B13" w:rsidRPr="00A20873">
              <w:rPr>
                <w:rStyle w:val="Hyperlink"/>
                <w:noProof/>
              </w:rPr>
              <w:t>Níveis de normalização</w:t>
            </w:r>
            <w:r w:rsidR="00131B13">
              <w:rPr>
                <w:noProof/>
                <w:webHidden/>
              </w:rPr>
              <w:tab/>
            </w:r>
            <w:r w:rsidR="00131B13">
              <w:rPr>
                <w:noProof/>
                <w:webHidden/>
              </w:rPr>
              <w:fldChar w:fldCharType="begin"/>
            </w:r>
            <w:r w:rsidR="00131B13">
              <w:rPr>
                <w:noProof/>
                <w:webHidden/>
              </w:rPr>
              <w:instrText xml:space="preserve"> PAGEREF _Toc26001151 \h </w:instrText>
            </w:r>
            <w:r w:rsidR="00131B13">
              <w:rPr>
                <w:noProof/>
                <w:webHidden/>
              </w:rPr>
            </w:r>
            <w:r w:rsidR="00131B13">
              <w:rPr>
                <w:noProof/>
                <w:webHidden/>
              </w:rPr>
              <w:fldChar w:fldCharType="separate"/>
            </w:r>
            <w:r w:rsidR="00596CE3">
              <w:rPr>
                <w:noProof/>
                <w:webHidden/>
              </w:rPr>
              <w:t>6</w:t>
            </w:r>
            <w:r w:rsidR="00131B13">
              <w:rPr>
                <w:noProof/>
                <w:webHidden/>
              </w:rPr>
              <w:fldChar w:fldCharType="end"/>
            </w:r>
          </w:hyperlink>
        </w:p>
        <w:p w14:paraId="6284D559" w14:textId="77777777" w:rsidR="00131B13" w:rsidRDefault="00224D01">
          <w:pPr>
            <w:pStyle w:val="Sumrio2"/>
            <w:tabs>
              <w:tab w:val="left" w:pos="1100"/>
              <w:tab w:val="right" w:leader="dot" w:pos="8777"/>
            </w:tabs>
            <w:rPr>
              <w:rFonts w:eastAsiaTheme="minorEastAsia" w:cstheme="minorBidi"/>
              <w:smallCaps w:val="0"/>
              <w:noProof/>
              <w:sz w:val="22"/>
              <w:szCs w:val="22"/>
              <w:lang w:eastAsia="pt-BR"/>
            </w:rPr>
          </w:pPr>
          <w:hyperlink w:anchor="_Toc26001152" w:history="1">
            <w:r w:rsidR="00131B13" w:rsidRPr="00A20873">
              <w:rPr>
                <w:rStyle w:val="Hyperlink"/>
                <w:noProof/>
              </w:rPr>
              <w:t>1.3.</w:t>
            </w:r>
            <w:r w:rsidR="00131B13">
              <w:rPr>
                <w:rFonts w:eastAsiaTheme="minorEastAsia" w:cstheme="minorBidi"/>
                <w:smallCaps w:val="0"/>
                <w:noProof/>
                <w:sz w:val="22"/>
                <w:szCs w:val="22"/>
                <w:lang w:eastAsia="pt-BR"/>
              </w:rPr>
              <w:tab/>
            </w:r>
            <w:r w:rsidR="00131B13" w:rsidRPr="00A20873">
              <w:rPr>
                <w:rStyle w:val="Hyperlink"/>
                <w:noProof/>
              </w:rPr>
              <w:t>Sistema Brasileiro de Normalização (SBN)</w:t>
            </w:r>
            <w:r w:rsidR="00131B13">
              <w:rPr>
                <w:noProof/>
                <w:webHidden/>
              </w:rPr>
              <w:tab/>
            </w:r>
            <w:r w:rsidR="00131B13">
              <w:rPr>
                <w:noProof/>
                <w:webHidden/>
              </w:rPr>
              <w:fldChar w:fldCharType="begin"/>
            </w:r>
            <w:r w:rsidR="00131B13">
              <w:rPr>
                <w:noProof/>
                <w:webHidden/>
              </w:rPr>
              <w:instrText xml:space="preserve"> PAGEREF _Toc26001152 \h </w:instrText>
            </w:r>
            <w:r w:rsidR="00131B13">
              <w:rPr>
                <w:noProof/>
                <w:webHidden/>
              </w:rPr>
            </w:r>
            <w:r w:rsidR="00131B13">
              <w:rPr>
                <w:noProof/>
                <w:webHidden/>
              </w:rPr>
              <w:fldChar w:fldCharType="separate"/>
            </w:r>
            <w:r w:rsidR="00596CE3">
              <w:rPr>
                <w:noProof/>
                <w:webHidden/>
              </w:rPr>
              <w:t>8</w:t>
            </w:r>
            <w:r w:rsidR="00131B13">
              <w:rPr>
                <w:noProof/>
                <w:webHidden/>
              </w:rPr>
              <w:fldChar w:fldCharType="end"/>
            </w:r>
          </w:hyperlink>
        </w:p>
        <w:p w14:paraId="1CF995F8" w14:textId="77777777" w:rsidR="00131B13" w:rsidRDefault="00224D01">
          <w:pPr>
            <w:pStyle w:val="Sumrio2"/>
            <w:tabs>
              <w:tab w:val="left" w:pos="1100"/>
              <w:tab w:val="right" w:leader="dot" w:pos="8777"/>
            </w:tabs>
            <w:rPr>
              <w:rFonts w:eastAsiaTheme="minorEastAsia" w:cstheme="minorBidi"/>
              <w:smallCaps w:val="0"/>
              <w:noProof/>
              <w:sz w:val="22"/>
              <w:szCs w:val="22"/>
              <w:lang w:eastAsia="pt-BR"/>
            </w:rPr>
          </w:pPr>
          <w:hyperlink w:anchor="_Toc26001153" w:history="1">
            <w:r w:rsidR="00131B13" w:rsidRPr="00A20873">
              <w:rPr>
                <w:rStyle w:val="Hyperlink"/>
                <w:noProof/>
              </w:rPr>
              <w:t>1.4.</w:t>
            </w:r>
            <w:r w:rsidR="00131B13">
              <w:rPr>
                <w:rFonts w:eastAsiaTheme="minorEastAsia" w:cstheme="minorBidi"/>
                <w:smallCaps w:val="0"/>
                <w:noProof/>
                <w:sz w:val="22"/>
                <w:szCs w:val="22"/>
                <w:lang w:eastAsia="pt-BR"/>
              </w:rPr>
              <w:tab/>
            </w:r>
            <w:r w:rsidR="00131B13" w:rsidRPr="00A20873">
              <w:rPr>
                <w:rStyle w:val="Hyperlink"/>
                <w:noProof/>
              </w:rPr>
              <w:t>Associação Brasileira de Normas Técnicas (ABNT)</w:t>
            </w:r>
            <w:r w:rsidR="00131B13">
              <w:rPr>
                <w:noProof/>
                <w:webHidden/>
              </w:rPr>
              <w:tab/>
            </w:r>
            <w:r w:rsidR="00131B13">
              <w:rPr>
                <w:noProof/>
                <w:webHidden/>
              </w:rPr>
              <w:fldChar w:fldCharType="begin"/>
            </w:r>
            <w:r w:rsidR="00131B13">
              <w:rPr>
                <w:noProof/>
                <w:webHidden/>
              </w:rPr>
              <w:instrText xml:space="preserve"> PAGEREF _Toc26001153 \h </w:instrText>
            </w:r>
            <w:r w:rsidR="00131B13">
              <w:rPr>
                <w:noProof/>
                <w:webHidden/>
              </w:rPr>
            </w:r>
            <w:r w:rsidR="00131B13">
              <w:rPr>
                <w:noProof/>
                <w:webHidden/>
              </w:rPr>
              <w:fldChar w:fldCharType="separate"/>
            </w:r>
            <w:r w:rsidR="00596CE3">
              <w:rPr>
                <w:noProof/>
                <w:webHidden/>
              </w:rPr>
              <w:t>9</w:t>
            </w:r>
            <w:r w:rsidR="00131B13">
              <w:rPr>
                <w:noProof/>
                <w:webHidden/>
              </w:rPr>
              <w:fldChar w:fldCharType="end"/>
            </w:r>
          </w:hyperlink>
        </w:p>
        <w:p w14:paraId="2DFB0E61" w14:textId="77777777" w:rsidR="00131B13" w:rsidRDefault="00224D01">
          <w:pPr>
            <w:pStyle w:val="Sumrio2"/>
            <w:tabs>
              <w:tab w:val="left" w:pos="1100"/>
              <w:tab w:val="right" w:leader="dot" w:pos="8777"/>
            </w:tabs>
            <w:rPr>
              <w:rFonts w:eastAsiaTheme="minorEastAsia" w:cstheme="minorBidi"/>
              <w:smallCaps w:val="0"/>
              <w:noProof/>
              <w:sz w:val="22"/>
              <w:szCs w:val="22"/>
              <w:lang w:eastAsia="pt-BR"/>
            </w:rPr>
          </w:pPr>
          <w:hyperlink w:anchor="_Toc26001154" w:history="1">
            <w:r w:rsidR="00131B13" w:rsidRPr="00A20873">
              <w:rPr>
                <w:rStyle w:val="Hyperlink"/>
                <w:noProof/>
              </w:rPr>
              <w:t>1.5.</w:t>
            </w:r>
            <w:r w:rsidR="00131B13">
              <w:rPr>
                <w:rFonts w:eastAsiaTheme="minorEastAsia" w:cstheme="minorBidi"/>
                <w:smallCaps w:val="0"/>
                <w:noProof/>
                <w:sz w:val="22"/>
                <w:szCs w:val="22"/>
                <w:lang w:eastAsia="pt-BR"/>
              </w:rPr>
              <w:tab/>
            </w:r>
            <w:r w:rsidR="00131B13" w:rsidRPr="00A20873">
              <w:rPr>
                <w:rStyle w:val="Hyperlink"/>
                <w:noProof/>
              </w:rPr>
              <w:t>Organismo de Normalização Setorial (ONS)</w:t>
            </w:r>
            <w:r w:rsidR="00131B13">
              <w:rPr>
                <w:noProof/>
                <w:webHidden/>
              </w:rPr>
              <w:tab/>
            </w:r>
            <w:r w:rsidR="00131B13">
              <w:rPr>
                <w:noProof/>
                <w:webHidden/>
              </w:rPr>
              <w:fldChar w:fldCharType="begin"/>
            </w:r>
            <w:r w:rsidR="00131B13">
              <w:rPr>
                <w:noProof/>
                <w:webHidden/>
              </w:rPr>
              <w:instrText xml:space="preserve"> PAGEREF _Toc26001154 \h </w:instrText>
            </w:r>
            <w:r w:rsidR="00131B13">
              <w:rPr>
                <w:noProof/>
                <w:webHidden/>
              </w:rPr>
            </w:r>
            <w:r w:rsidR="00131B13">
              <w:rPr>
                <w:noProof/>
                <w:webHidden/>
              </w:rPr>
              <w:fldChar w:fldCharType="separate"/>
            </w:r>
            <w:r w:rsidR="00596CE3">
              <w:rPr>
                <w:noProof/>
                <w:webHidden/>
              </w:rPr>
              <w:t>9</w:t>
            </w:r>
            <w:r w:rsidR="00131B13">
              <w:rPr>
                <w:noProof/>
                <w:webHidden/>
              </w:rPr>
              <w:fldChar w:fldCharType="end"/>
            </w:r>
          </w:hyperlink>
        </w:p>
        <w:p w14:paraId="13637D6D" w14:textId="77777777" w:rsidR="00131B13" w:rsidRDefault="00224D01">
          <w:pPr>
            <w:pStyle w:val="Sumrio2"/>
            <w:tabs>
              <w:tab w:val="left" w:pos="1100"/>
              <w:tab w:val="right" w:leader="dot" w:pos="8777"/>
            </w:tabs>
            <w:rPr>
              <w:rFonts w:eastAsiaTheme="minorEastAsia" w:cstheme="minorBidi"/>
              <w:smallCaps w:val="0"/>
              <w:noProof/>
              <w:sz w:val="22"/>
              <w:szCs w:val="22"/>
              <w:lang w:eastAsia="pt-BR"/>
            </w:rPr>
          </w:pPr>
          <w:hyperlink w:anchor="_Toc26001155" w:history="1">
            <w:r w:rsidR="00131B13" w:rsidRPr="00A20873">
              <w:rPr>
                <w:rStyle w:val="Hyperlink"/>
                <w:noProof/>
              </w:rPr>
              <w:t>1.6.</w:t>
            </w:r>
            <w:r w:rsidR="00131B13">
              <w:rPr>
                <w:rFonts w:eastAsiaTheme="minorEastAsia" w:cstheme="minorBidi"/>
                <w:smallCaps w:val="0"/>
                <w:noProof/>
                <w:sz w:val="22"/>
                <w:szCs w:val="22"/>
                <w:lang w:eastAsia="pt-BR"/>
              </w:rPr>
              <w:tab/>
            </w:r>
            <w:r w:rsidR="00131B13" w:rsidRPr="00A20873">
              <w:rPr>
                <w:rStyle w:val="Hyperlink"/>
                <w:noProof/>
              </w:rPr>
              <w:t>Comitê Brasileiro de Normalização (CBN)</w:t>
            </w:r>
            <w:r w:rsidR="00131B13">
              <w:rPr>
                <w:noProof/>
                <w:webHidden/>
              </w:rPr>
              <w:tab/>
            </w:r>
            <w:r w:rsidR="00131B13">
              <w:rPr>
                <w:noProof/>
                <w:webHidden/>
              </w:rPr>
              <w:fldChar w:fldCharType="begin"/>
            </w:r>
            <w:r w:rsidR="00131B13">
              <w:rPr>
                <w:noProof/>
                <w:webHidden/>
              </w:rPr>
              <w:instrText xml:space="preserve"> PAGEREF _Toc26001155 \h </w:instrText>
            </w:r>
            <w:r w:rsidR="00131B13">
              <w:rPr>
                <w:noProof/>
                <w:webHidden/>
              </w:rPr>
            </w:r>
            <w:r w:rsidR="00131B13">
              <w:rPr>
                <w:noProof/>
                <w:webHidden/>
              </w:rPr>
              <w:fldChar w:fldCharType="separate"/>
            </w:r>
            <w:r w:rsidR="00596CE3">
              <w:rPr>
                <w:noProof/>
                <w:webHidden/>
              </w:rPr>
              <w:t>9</w:t>
            </w:r>
            <w:r w:rsidR="00131B13">
              <w:rPr>
                <w:noProof/>
                <w:webHidden/>
              </w:rPr>
              <w:fldChar w:fldCharType="end"/>
            </w:r>
          </w:hyperlink>
        </w:p>
        <w:p w14:paraId="6ACF7E6F" w14:textId="77777777" w:rsidR="00131B13" w:rsidRDefault="00224D01">
          <w:pPr>
            <w:pStyle w:val="Sumrio2"/>
            <w:tabs>
              <w:tab w:val="left" w:pos="1100"/>
              <w:tab w:val="right" w:leader="dot" w:pos="8777"/>
            </w:tabs>
            <w:rPr>
              <w:rFonts w:eastAsiaTheme="minorEastAsia" w:cstheme="minorBidi"/>
              <w:smallCaps w:val="0"/>
              <w:noProof/>
              <w:sz w:val="22"/>
              <w:szCs w:val="22"/>
              <w:lang w:eastAsia="pt-BR"/>
            </w:rPr>
          </w:pPr>
          <w:hyperlink w:anchor="_Toc26001156" w:history="1">
            <w:r w:rsidR="00131B13" w:rsidRPr="00A20873">
              <w:rPr>
                <w:rStyle w:val="Hyperlink"/>
                <w:noProof/>
              </w:rPr>
              <w:t>1.7.</w:t>
            </w:r>
            <w:r w:rsidR="00131B13">
              <w:rPr>
                <w:rFonts w:eastAsiaTheme="minorEastAsia" w:cstheme="minorBidi"/>
                <w:smallCaps w:val="0"/>
                <w:noProof/>
                <w:sz w:val="22"/>
                <w:szCs w:val="22"/>
                <w:lang w:eastAsia="pt-BR"/>
              </w:rPr>
              <w:tab/>
            </w:r>
            <w:r w:rsidR="00131B13" w:rsidRPr="00A20873">
              <w:rPr>
                <w:rStyle w:val="Hyperlink"/>
                <w:noProof/>
              </w:rPr>
              <w:t>Objetivos da normalização</w:t>
            </w:r>
            <w:r w:rsidR="00131B13">
              <w:rPr>
                <w:noProof/>
                <w:webHidden/>
              </w:rPr>
              <w:tab/>
            </w:r>
            <w:r w:rsidR="00131B13">
              <w:rPr>
                <w:noProof/>
                <w:webHidden/>
              </w:rPr>
              <w:fldChar w:fldCharType="begin"/>
            </w:r>
            <w:r w:rsidR="00131B13">
              <w:rPr>
                <w:noProof/>
                <w:webHidden/>
              </w:rPr>
              <w:instrText xml:space="preserve"> PAGEREF _Toc26001156 \h </w:instrText>
            </w:r>
            <w:r w:rsidR="00131B13">
              <w:rPr>
                <w:noProof/>
                <w:webHidden/>
              </w:rPr>
            </w:r>
            <w:r w:rsidR="00131B13">
              <w:rPr>
                <w:noProof/>
                <w:webHidden/>
              </w:rPr>
              <w:fldChar w:fldCharType="separate"/>
            </w:r>
            <w:r w:rsidR="00596CE3">
              <w:rPr>
                <w:noProof/>
                <w:webHidden/>
              </w:rPr>
              <w:t>10</w:t>
            </w:r>
            <w:r w:rsidR="00131B13">
              <w:rPr>
                <w:noProof/>
                <w:webHidden/>
              </w:rPr>
              <w:fldChar w:fldCharType="end"/>
            </w:r>
          </w:hyperlink>
        </w:p>
        <w:p w14:paraId="35325F3D" w14:textId="77777777" w:rsidR="00131B13" w:rsidRDefault="00224D01">
          <w:pPr>
            <w:pStyle w:val="Sumrio2"/>
            <w:tabs>
              <w:tab w:val="left" w:pos="1100"/>
              <w:tab w:val="right" w:leader="dot" w:pos="8777"/>
            </w:tabs>
            <w:rPr>
              <w:rFonts w:eastAsiaTheme="minorEastAsia" w:cstheme="minorBidi"/>
              <w:smallCaps w:val="0"/>
              <w:noProof/>
              <w:sz w:val="22"/>
              <w:szCs w:val="22"/>
              <w:lang w:eastAsia="pt-BR"/>
            </w:rPr>
          </w:pPr>
          <w:hyperlink w:anchor="_Toc26001157" w:history="1">
            <w:r w:rsidR="00131B13" w:rsidRPr="00A20873">
              <w:rPr>
                <w:rStyle w:val="Hyperlink"/>
                <w:noProof/>
              </w:rPr>
              <w:t>1.8.</w:t>
            </w:r>
            <w:r w:rsidR="00131B13">
              <w:rPr>
                <w:rFonts w:eastAsiaTheme="minorEastAsia" w:cstheme="minorBidi"/>
                <w:smallCaps w:val="0"/>
                <w:noProof/>
                <w:sz w:val="22"/>
                <w:szCs w:val="22"/>
                <w:lang w:eastAsia="pt-BR"/>
              </w:rPr>
              <w:tab/>
            </w:r>
            <w:r w:rsidR="00131B13" w:rsidRPr="00A20873">
              <w:rPr>
                <w:rStyle w:val="Hyperlink"/>
                <w:noProof/>
              </w:rPr>
              <w:t>O processo de normalização</w:t>
            </w:r>
            <w:r w:rsidR="00131B13">
              <w:rPr>
                <w:noProof/>
                <w:webHidden/>
              </w:rPr>
              <w:tab/>
            </w:r>
            <w:r w:rsidR="00131B13">
              <w:rPr>
                <w:noProof/>
                <w:webHidden/>
              </w:rPr>
              <w:fldChar w:fldCharType="begin"/>
            </w:r>
            <w:r w:rsidR="00131B13">
              <w:rPr>
                <w:noProof/>
                <w:webHidden/>
              </w:rPr>
              <w:instrText xml:space="preserve"> PAGEREF _Toc26001157 \h </w:instrText>
            </w:r>
            <w:r w:rsidR="00131B13">
              <w:rPr>
                <w:noProof/>
                <w:webHidden/>
              </w:rPr>
            </w:r>
            <w:r w:rsidR="00131B13">
              <w:rPr>
                <w:noProof/>
                <w:webHidden/>
              </w:rPr>
              <w:fldChar w:fldCharType="separate"/>
            </w:r>
            <w:r w:rsidR="00596CE3">
              <w:rPr>
                <w:noProof/>
                <w:webHidden/>
              </w:rPr>
              <w:t>10</w:t>
            </w:r>
            <w:r w:rsidR="00131B13">
              <w:rPr>
                <w:noProof/>
                <w:webHidden/>
              </w:rPr>
              <w:fldChar w:fldCharType="end"/>
            </w:r>
          </w:hyperlink>
        </w:p>
        <w:p w14:paraId="687C64D3" w14:textId="77777777" w:rsidR="00131B13" w:rsidRDefault="00224D01">
          <w:pPr>
            <w:pStyle w:val="Sumrio1"/>
            <w:tabs>
              <w:tab w:val="left" w:pos="397"/>
              <w:tab w:val="right" w:leader="dot" w:pos="8777"/>
            </w:tabs>
            <w:rPr>
              <w:rFonts w:eastAsiaTheme="minorEastAsia"/>
              <w:caps w:val="0"/>
              <w:noProof/>
              <w:lang w:eastAsia="pt-BR"/>
            </w:rPr>
          </w:pPr>
          <w:hyperlink w:anchor="_Toc26001158" w:history="1">
            <w:r w:rsidR="00131B13" w:rsidRPr="00A20873">
              <w:rPr>
                <w:rStyle w:val="Hyperlink"/>
                <w:noProof/>
              </w:rPr>
              <w:t>2.</w:t>
            </w:r>
            <w:r w:rsidR="00131B13">
              <w:rPr>
                <w:rFonts w:eastAsiaTheme="minorEastAsia"/>
                <w:caps w:val="0"/>
                <w:noProof/>
                <w:lang w:eastAsia="pt-BR"/>
              </w:rPr>
              <w:tab/>
            </w:r>
            <w:r w:rsidR="00131B13" w:rsidRPr="00A20873">
              <w:rPr>
                <w:rStyle w:val="Hyperlink"/>
                <w:rFonts w:cstheme="majorHAnsi"/>
                <w:noProof/>
              </w:rPr>
              <w:t>Regulamentação</w:t>
            </w:r>
            <w:r w:rsidR="00131B13">
              <w:rPr>
                <w:noProof/>
                <w:webHidden/>
              </w:rPr>
              <w:tab/>
            </w:r>
            <w:r w:rsidR="00131B13">
              <w:rPr>
                <w:noProof/>
                <w:webHidden/>
              </w:rPr>
              <w:fldChar w:fldCharType="begin"/>
            </w:r>
            <w:r w:rsidR="00131B13">
              <w:rPr>
                <w:noProof/>
                <w:webHidden/>
              </w:rPr>
              <w:instrText xml:space="preserve"> PAGEREF _Toc26001158 \h </w:instrText>
            </w:r>
            <w:r w:rsidR="00131B13">
              <w:rPr>
                <w:noProof/>
                <w:webHidden/>
              </w:rPr>
            </w:r>
            <w:r w:rsidR="00131B13">
              <w:rPr>
                <w:noProof/>
                <w:webHidden/>
              </w:rPr>
              <w:fldChar w:fldCharType="separate"/>
            </w:r>
            <w:r w:rsidR="00596CE3">
              <w:rPr>
                <w:noProof/>
                <w:webHidden/>
              </w:rPr>
              <w:t>12</w:t>
            </w:r>
            <w:r w:rsidR="00131B13">
              <w:rPr>
                <w:noProof/>
                <w:webHidden/>
              </w:rPr>
              <w:fldChar w:fldCharType="end"/>
            </w:r>
          </w:hyperlink>
        </w:p>
        <w:p w14:paraId="0734DF4D" w14:textId="77777777" w:rsidR="00131B13" w:rsidRDefault="00224D01">
          <w:pPr>
            <w:pStyle w:val="Sumrio2"/>
            <w:tabs>
              <w:tab w:val="left" w:pos="1100"/>
              <w:tab w:val="right" w:leader="dot" w:pos="8777"/>
            </w:tabs>
            <w:rPr>
              <w:rFonts w:eastAsiaTheme="minorEastAsia" w:cstheme="minorBidi"/>
              <w:smallCaps w:val="0"/>
              <w:noProof/>
              <w:sz w:val="22"/>
              <w:szCs w:val="22"/>
              <w:lang w:eastAsia="pt-BR"/>
            </w:rPr>
          </w:pPr>
          <w:hyperlink w:anchor="_Toc26001159" w:history="1">
            <w:r w:rsidR="00131B13" w:rsidRPr="00A20873">
              <w:rPr>
                <w:rStyle w:val="Hyperlink"/>
                <w:noProof/>
              </w:rPr>
              <w:t>2.1.</w:t>
            </w:r>
            <w:r w:rsidR="00131B13">
              <w:rPr>
                <w:rFonts w:eastAsiaTheme="minorEastAsia" w:cstheme="minorBidi"/>
                <w:smallCaps w:val="0"/>
                <w:noProof/>
                <w:sz w:val="22"/>
                <w:szCs w:val="22"/>
                <w:lang w:eastAsia="pt-BR"/>
              </w:rPr>
              <w:tab/>
            </w:r>
            <w:r w:rsidR="00131B13" w:rsidRPr="00A20873">
              <w:rPr>
                <w:rStyle w:val="Hyperlink"/>
                <w:noProof/>
              </w:rPr>
              <w:t>Entendendo a diferença entre regulação e regulamentação</w:t>
            </w:r>
            <w:r w:rsidR="00131B13">
              <w:rPr>
                <w:noProof/>
                <w:webHidden/>
              </w:rPr>
              <w:tab/>
            </w:r>
            <w:r w:rsidR="00131B13">
              <w:rPr>
                <w:noProof/>
                <w:webHidden/>
              </w:rPr>
              <w:fldChar w:fldCharType="begin"/>
            </w:r>
            <w:r w:rsidR="00131B13">
              <w:rPr>
                <w:noProof/>
                <w:webHidden/>
              </w:rPr>
              <w:instrText xml:space="preserve"> PAGEREF _Toc26001159 \h </w:instrText>
            </w:r>
            <w:r w:rsidR="00131B13">
              <w:rPr>
                <w:noProof/>
                <w:webHidden/>
              </w:rPr>
            </w:r>
            <w:r w:rsidR="00131B13">
              <w:rPr>
                <w:noProof/>
                <w:webHidden/>
              </w:rPr>
              <w:fldChar w:fldCharType="separate"/>
            </w:r>
            <w:r w:rsidR="00596CE3">
              <w:rPr>
                <w:noProof/>
                <w:webHidden/>
              </w:rPr>
              <w:t>13</w:t>
            </w:r>
            <w:r w:rsidR="00131B13">
              <w:rPr>
                <w:noProof/>
                <w:webHidden/>
              </w:rPr>
              <w:fldChar w:fldCharType="end"/>
            </w:r>
          </w:hyperlink>
        </w:p>
        <w:p w14:paraId="12674EFD" w14:textId="77777777" w:rsidR="00131B13" w:rsidRDefault="00224D01">
          <w:pPr>
            <w:pStyle w:val="Sumrio2"/>
            <w:tabs>
              <w:tab w:val="left" w:pos="1100"/>
              <w:tab w:val="right" w:leader="dot" w:pos="8777"/>
            </w:tabs>
            <w:rPr>
              <w:rFonts w:eastAsiaTheme="minorEastAsia" w:cstheme="minorBidi"/>
              <w:smallCaps w:val="0"/>
              <w:noProof/>
              <w:sz w:val="22"/>
              <w:szCs w:val="22"/>
              <w:lang w:eastAsia="pt-BR"/>
            </w:rPr>
          </w:pPr>
          <w:hyperlink w:anchor="_Toc26001160" w:history="1">
            <w:r w:rsidR="00131B13" w:rsidRPr="00A20873">
              <w:rPr>
                <w:rStyle w:val="Hyperlink"/>
                <w:noProof/>
              </w:rPr>
              <w:t>2.2.</w:t>
            </w:r>
            <w:r w:rsidR="00131B13">
              <w:rPr>
                <w:rFonts w:eastAsiaTheme="minorEastAsia" w:cstheme="minorBidi"/>
                <w:smallCaps w:val="0"/>
                <w:noProof/>
                <w:sz w:val="22"/>
                <w:szCs w:val="22"/>
                <w:lang w:eastAsia="pt-BR"/>
              </w:rPr>
              <w:tab/>
            </w:r>
            <w:r w:rsidR="00131B13" w:rsidRPr="00A20873">
              <w:rPr>
                <w:rStyle w:val="Hyperlink"/>
                <w:noProof/>
              </w:rPr>
              <w:t>Diferença entre norma e regulamento</w:t>
            </w:r>
            <w:r w:rsidR="00131B13">
              <w:rPr>
                <w:noProof/>
                <w:webHidden/>
              </w:rPr>
              <w:tab/>
            </w:r>
            <w:r w:rsidR="00131B13">
              <w:rPr>
                <w:noProof/>
                <w:webHidden/>
              </w:rPr>
              <w:fldChar w:fldCharType="begin"/>
            </w:r>
            <w:r w:rsidR="00131B13">
              <w:rPr>
                <w:noProof/>
                <w:webHidden/>
              </w:rPr>
              <w:instrText xml:space="preserve"> PAGEREF _Toc26001160 \h </w:instrText>
            </w:r>
            <w:r w:rsidR="00131B13">
              <w:rPr>
                <w:noProof/>
                <w:webHidden/>
              </w:rPr>
            </w:r>
            <w:r w:rsidR="00131B13">
              <w:rPr>
                <w:noProof/>
                <w:webHidden/>
              </w:rPr>
              <w:fldChar w:fldCharType="separate"/>
            </w:r>
            <w:r w:rsidR="00596CE3">
              <w:rPr>
                <w:noProof/>
                <w:webHidden/>
              </w:rPr>
              <w:t>15</w:t>
            </w:r>
            <w:r w:rsidR="00131B13">
              <w:rPr>
                <w:noProof/>
                <w:webHidden/>
              </w:rPr>
              <w:fldChar w:fldCharType="end"/>
            </w:r>
          </w:hyperlink>
        </w:p>
        <w:p w14:paraId="204DF45D" w14:textId="77777777" w:rsidR="00131B13" w:rsidRDefault="00224D01">
          <w:pPr>
            <w:pStyle w:val="Sumrio2"/>
            <w:tabs>
              <w:tab w:val="left" w:pos="1100"/>
              <w:tab w:val="right" w:leader="dot" w:pos="8777"/>
            </w:tabs>
            <w:rPr>
              <w:rFonts w:eastAsiaTheme="minorEastAsia" w:cstheme="minorBidi"/>
              <w:smallCaps w:val="0"/>
              <w:noProof/>
              <w:sz w:val="22"/>
              <w:szCs w:val="22"/>
              <w:lang w:eastAsia="pt-BR"/>
            </w:rPr>
          </w:pPr>
          <w:hyperlink w:anchor="_Toc26001161" w:history="1">
            <w:r w:rsidR="00131B13" w:rsidRPr="00A20873">
              <w:rPr>
                <w:rStyle w:val="Hyperlink"/>
                <w:noProof/>
              </w:rPr>
              <w:t>2.3.</w:t>
            </w:r>
            <w:r w:rsidR="00131B13">
              <w:rPr>
                <w:rFonts w:eastAsiaTheme="minorEastAsia" w:cstheme="minorBidi"/>
                <w:smallCaps w:val="0"/>
                <w:noProof/>
                <w:sz w:val="22"/>
                <w:szCs w:val="22"/>
                <w:lang w:eastAsia="pt-BR"/>
              </w:rPr>
              <w:tab/>
            </w:r>
            <w:r w:rsidR="00131B13" w:rsidRPr="00A20873">
              <w:rPr>
                <w:rStyle w:val="Hyperlink"/>
                <w:noProof/>
              </w:rPr>
              <w:t>Implantação assistida</w:t>
            </w:r>
            <w:r w:rsidR="00131B13">
              <w:rPr>
                <w:noProof/>
                <w:webHidden/>
              </w:rPr>
              <w:tab/>
            </w:r>
            <w:r w:rsidR="00131B13">
              <w:rPr>
                <w:noProof/>
                <w:webHidden/>
              </w:rPr>
              <w:fldChar w:fldCharType="begin"/>
            </w:r>
            <w:r w:rsidR="00131B13">
              <w:rPr>
                <w:noProof/>
                <w:webHidden/>
              </w:rPr>
              <w:instrText xml:space="preserve"> PAGEREF _Toc26001161 \h </w:instrText>
            </w:r>
            <w:r w:rsidR="00131B13">
              <w:rPr>
                <w:noProof/>
                <w:webHidden/>
              </w:rPr>
            </w:r>
            <w:r w:rsidR="00131B13">
              <w:rPr>
                <w:noProof/>
                <w:webHidden/>
              </w:rPr>
              <w:fldChar w:fldCharType="separate"/>
            </w:r>
            <w:r w:rsidR="00596CE3">
              <w:rPr>
                <w:noProof/>
                <w:webHidden/>
              </w:rPr>
              <w:t>17</w:t>
            </w:r>
            <w:r w:rsidR="00131B13">
              <w:rPr>
                <w:noProof/>
                <w:webHidden/>
              </w:rPr>
              <w:fldChar w:fldCharType="end"/>
            </w:r>
          </w:hyperlink>
        </w:p>
        <w:p w14:paraId="69A44CF4" w14:textId="77777777" w:rsidR="00131B13" w:rsidRDefault="00224D01">
          <w:pPr>
            <w:pStyle w:val="Sumrio2"/>
            <w:tabs>
              <w:tab w:val="left" w:pos="1100"/>
              <w:tab w:val="right" w:leader="dot" w:pos="8777"/>
            </w:tabs>
            <w:rPr>
              <w:rFonts w:eastAsiaTheme="minorEastAsia" w:cstheme="minorBidi"/>
              <w:smallCaps w:val="0"/>
              <w:noProof/>
              <w:sz w:val="22"/>
              <w:szCs w:val="22"/>
              <w:lang w:eastAsia="pt-BR"/>
            </w:rPr>
          </w:pPr>
          <w:hyperlink w:anchor="_Toc26001162" w:history="1">
            <w:r w:rsidR="00131B13" w:rsidRPr="00A20873">
              <w:rPr>
                <w:rStyle w:val="Hyperlink"/>
                <w:noProof/>
              </w:rPr>
              <w:t>2.4.</w:t>
            </w:r>
            <w:r w:rsidR="00131B13">
              <w:rPr>
                <w:rFonts w:eastAsiaTheme="minorEastAsia" w:cstheme="minorBidi"/>
                <w:smallCaps w:val="0"/>
                <w:noProof/>
                <w:sz w:val="22"/>
                <w:szCs w:val="22"/>
                <w:lang w:eastAsia="pt-BR"/>
              </w:rPr>
              <w:tab/>
            </w:r>
            <w:r w:rsidR="00131B13" w:rsidRPr="00A20873">
              <w:rPr>
                <w:rStyle w:val="Hyperlink"/>
                <w:noProof/>
              </w:rPr>
              <w:t>Acompanhamento no mercado</w:t>
            </w:r>
            <w:r w:rsidR="00131B13">
              <w:rPr>
                <w:noProof/>
                <w:webHidden/>
              </w:rPr>
              <w:tab/>
            </w:r>
            <w:r w:rsidR="00131B13">
              <w:rPr>
                <w:noProof/>
                <w:webHidden/>
              </w:rPr>
              <w:fldChar w:fldCharType="begin"/>
            </w:r>
            <w:r w:rsidR="00131B13">
              <w:rPr>
                <w:noProof/>
                <w:webHidden/>
              </w:rPr>
              <w:instrText xml:space="preserve"> PAGEREF _Toc26001162 \h </w:instrText>
            </w:r>
            <w:r w:rsidR="00131B13">
              <w:rPr>
                <w:noProof/>
                <w:webHidden/>
              </w:rPr>
            </w:r>
            <w:r w:rsidR="00131B13">
              <w:rPr>
                <w:noProof/>
                <w:webHidden/>
              </w:rPr>
              <w:fldChar w:fldCharType="separate"/>
            </w:r>
            <w:r w:rsidR="00596CE3">
              <w:rPr>
                <w:noProof/>
                <w:webHidden/>
              </w:rPr>
              <w:t>18</w:t>
            </w:r>
            <w:r w:rsidR="00131B13">
              <w:rPr>
                <w:noProof/>
                <w:webHidden/>
              </w:rPr>
              <w:fldChar w:fldCharType="end"/>
            </w:r>
          </w:hyperlink>
        </w:p>
        <w:p w14:paraId="5F291D2E" w14:textId="77777777" w:rsidR="00131B13" w:rsidRDefault="00224D01">
          <w:pPr>
            <w:pStyle w:val="Sumrio1"/>
            <w:tabs>
              <w:tab w:val="right" w:leader="dot" w:pos="8777"/>
            </w:tabs>
            <w:rPr>
              <w:rFonts w:eastAsiaTheme="minorEastAsia"/>
              <w:caps w:val="0"/>
              <w:noProof/>
              <w:lang w:eastAsia="pt-BR"/>
            </w:rPr>
          </w:pPr>
          <w:hyperlink w:anchor="_Toc26001163" w:history="1">
            <w:r w:rsidR="00131B13" w:rsidRPr="00A20873">
              <w:rPr>
                <w:rStyle w:val="Hyperlink"/>
                <w:noProof/>
              </w:rPr>
              <w:t>Referências</w:t>
            </w:r>
            <w:r w:rsidR="00131B13">
              <w:rPr>
                <w:noProof/>
                <w:webHidden/>
              </w:rPr>
              <w:tab/>
            </w:r>
            <w:r w:rsidR="00131B13">
              <w:rPr>
                <w:noProof/>
                <w:webHidden/>
              </w:rPr>
              <w:fldChar w:fldCharType="begin"/>
            </w:r>
            <w:r w:rsidR="00131B13">
              <w:rPr>
                <w:noProof/>
                <w:webHidden/>
              </w:rPr>
              <w:instrText xml:space="preserve"> PAGEREF _Toc26001163 \h </w:instrText>
            </w:r>
            <w:r w:rsidR="00131B13">
              <w:rPr>
                <w:noProof/>
                <w:webHidden/>
              </w:rPr>
            </w:r>
            <w:r w:rsidR="00131B13">
              <w:rPr>
                <w:noProof/>
                <w:webHidden/>
              </w:rPr>
              <w:fldChar w:fldCharType="separate"/>
            </w:r>
            <w:r w:rsidR="00596CE3">
              <w:rPr>
                <w:noProof/>
                <w:webHidden/>
              </w:rPr>
              <w:t>22</w:t>
            </w:r>
            <w:r w:rsidR="00131B13">
              <w:rPr>
                <w:noProof/>
                <w:webHidden/>
              </w:rPr>
              <w:fldChar w:fldCharType="end"/>
            </w:r>
          </w:hyperlink>
        </w:p>
        <w:p w14:paraId="7E4A8E8F" w14:textId="7AAE927F" w:rsidR="005B0503" w:rsidRPr="00611C61" w:rsidRDefault="00131B13" w:rsidP="001F4EDA">
          <w:pPr>
            <w:pStyle w:val="Ttulo1"/>
            <w:jc w:val="both"/>
            <w:rPr>
              <w:rFonts w:cstheme="majorHAnsi"/>
              <w:bCs/>
              <w:sz w:val="20"/>
              <w:szCs w:val="20"/>
            </w:rPr>
          </w:pPr>
          <w:r>
            <w:rPr>
              <w:rFonts w:eastAsiaTheme="minorHAnsi" w:cstheme="majorHAnsi"/>
              <w:caps/>
              <w:smallCaps/>
              <w:color w:val="auto"/>
              <w:sz w:val="20"/>
              <w:szCs w:val="20"/>
            </w:rPr>
            <w:fldChar w:fldCharType="end"/>
          </w:r>
        </w:p>
      </w:sdtContent>
    </w:sdt>
    <w:p w14:paraId="5F3DFC81" w14:textId="77777777" w:rsidR="005B0503" w:rsidRPr="00611C61" w:rsidRDefault="005B0503" w:rsidP="00EA63CA">
      <w:pPr>
        <w:spacing w:before="120" w:after="240" w:line="360" w:lineRule="auto"/>
        <w:jc w:val="both"/>
        <w:rPr>
          <w:rFonts w:asciiTheme="majorHAnsi" w:hAnsiTheme="majorHAnsi" w:cstheme="majorHAnsi"/>
        </w:rPr>
      </w:pPr>
    </w:p>
    <w:p w14:paraId="1BF6DCAE" w14:textId="77777777" w:rsidR="005B0503" w:rsidRPr="00611C61" w:rsidRDefault="005B0503" w:rsidP="00EA63CA">
      <w:pPr>
        <w:spacing w:before="120" w:after="240" w:line="360" w:lineRule="auto"/>
        <w:jc w:val="both"/>
        <w:rPr>
          <w:rFonts w:asciiTheme="majorHAnsi" w:hAnsiTheme="majorHAnsi" w:cstheme="majorHAnsi"/>
        </w:rPr>
      </w:pPr>
    </w:p>
    <w:p w14:paraId="687CBCF3" w14:textId="77777777" w:rsidR="005B0503" w:rsidRPr="00611C61" w:rsidRDefault="005B0503" w:rsidP="00EA63CA">
      <w:pPr>
        <w:spacing w:before="120" w:after="240" w:line="360" w:lineRule="auto"/>
        <w:jc w:val="both"/>
        <w:rPr>
          <w:rFonts w:asciiTheme="majorHAnsi" w:hAnsiTheme="majorHAnsi" w:cstheme="majorHAnsi"/>
        </w:rPr>
      </w:pPr>
    </w:p>
    <w:p w14:paraId="1469A9E5" w14:textId="77777777" w:rsidR="005B0503" w:rsidRDefault="005B0503" w:rsidP="00EA63CA">
      <w:pPr>
        <w:spacing w:before="120" w:after="240" w:line="360" w:lineRule="auto"/>
        <w:jc w:val="both"/>
        <w:rPr>
          <w:rFonts w:asciiTheme="majorHAnsi" w:hAnsiTheme="majorHAnsi" w:cstheme="majorHAnsi"/>
        </w:rPr>
      </w:pPr>
    </w:p>
    <w:p w14:paraId="1E5DFCBE" w14:textId="77777777" w:rsidR="00361E04" w:rsidRDefault="00361E04" w:rsidP="00EA63CA">
      <w:pPr>
        <w:spacing w:before="120" w:after="240" w:line="360" w:lineRule="auto"/>
        <w:jc w:val="both"/>
        <w:rPr>
          <w:rFonts w:asciiTheme="majorHAnsi" w:hAnsiTheme="majorHAnsi" w:cstheme="majorHAnsi"/>
        </w:rPr>
      </w:pPr>
    </w:p>
    <w:p w14:paraId="16B5C4CA" w14:textId="77777777" w:rsidR="00361E04" w:rsidRPr="00611C61" w:rsidRDefault="00361E04" w:rsidP="00EA63CA">
      <w:pPr>
        <w:spacing w:before="120" w:after="240" w:line="360" w:lineRule="auto"/>
        <w:jc w:val="both"/>
        <w:rPr>
          <w:rFonts w:asciiTheme="majorHAnsi" w:hAnsiTheme="majorHAnsi" w:cstheme="majorHAnsi"/>
        </w:rPr>
      </w:pPr>
    </w:p>
    <w:p w14:paraId="34A77415" w14:textId="77777777" w:rsidR="005B0503" w:rsidRPr="00611C61" w:rsidRDefault="005B0503" w:rsidP="00EA63CA">
      <w:pPr>
        <w:spacing w:before="120" w:after="240" w:line="360" w:lineRule="auto"/>
        <w:jc w:val="both"/>
        <w:rPr>
          <w:rFonts w:asciiTheme="majorHAnsi" w:hAnsiTheme="majorHAnsi" w:cstheme="majorHAnsi"/>
        </w:rPr>
      </w:pPr>
    </w:p>
    <w:p w14:paraId="1D65FD4C" w14:textId="77777777" w:rsidR="005B0503" w:rsidRPr="00611C61" w:rsidRDefault="005B0503" w:rsidP="00EA63CA">
      <w:pPr>
        <w:spacing w:before="120" w:after="240" w:line="360" w:lineRule="auto"/>
        <w:jc w:val="both"/>
        <w:rPr>
          <w:rFonts w:asciiTheme="majorHAnsi" w:hAnsiTheme="majorHAnsi" w:cstheme="majorHAnsi"/>
        </w:rPr>
      </w:pPr>
    </w:p>
    <w:p w14:paraId="7092B312" w14:textId="77777777" w:rsidR="00E457DC" w:rsidRPr="00611C61" w:rsidRDefault="00E457DC" w:rsidP="00EA63CA">
      <w:pPr>
        <w:pStyle w:val="Ttulo1"/>
        <w:spacing w:after="240" w:line="360" w:lineRule="auto"/>
        <w:jc w:val="both"/>
        <w:rPr>
          <w:rFonts w:cstheme="majorHAnsi"/>
        </w:rPr>
      </w:pPr>
    </w:p>
    <w:p w14:paraId="46ECAE6E" w14:textId="57841E5B" w:rsidR="00E457DC" w:rsidRPr="00611C61" w:rsidRDefault="00E457DC" w:rsidP="00EA63CA">
      <w:pPr>
        <w:pStyle w:val="Ttulo1"/>
        <w:spacing w:after="240" w:line="360" w:lineRule="auto"/>
        <w:jc w:val="center"/>
        <w:rPr>
          <w:rFonts w:cstheme="majorHAnsi"/>
        </w:rPr>
      </w:pPr>
      <w:bookmarkStart w:id="2" w:name="_Toc26001147"/>
      <w:r w:rsidRPr="00611C61">
        <w:rPr>
          <w:rFonts w:cstheme="majorHAnsi"/>
        </w:rPr>
        <w:t>Apresentação</w:t>
      </w:r>
      <w:bookmarkEnd w:id="2"/>
    </w:p>
    <w:p w14:paraId="028D60CE" w14:textId="77777777" w:rsidR="00E457DC" w:rsidRPr="00611C61" w:rsidRDefault="00E457DC" w:rsidP="00EA63CA">
      <w:pPr>
        <w:spacing w:before="120" w:after="240" w:line="360" w:lineRule="auto"/>
        <w:jc w:val="both"/>
        <w:rPr>
          <w:rFonts w:asciiTheme="majorHAnsi" w:hAnsiTheme="majorHAnsi" w:cstheme="majorHAnsi"/>
        </w:rPr>
      </w:pPr>
    </w:p>
    <w:p w14:paraId="4FC96604" w14:textId="78356220" w:rsidR="008C1A44" w:rsidRPr="00611C61" w:rsidRDefault="008C1A44" w:rsidP="00EA63CA">
      <w:pPr>
        <w:spacing w:before="120" w:after="240" w:line="360" w:lineRule="auto"/>
        <w:jc w:val="both"/>
        <w:rPr>
          <w:rFonts w:asciiTheme="majorHAnsi" w:hAnsiTheme="majorHAnsi" w:cstheme="majorHAnsi"/>
        </w:rPr>
      </w:pPr>
      <w:r w:rsidRPr="00611C61">
        <w:rPr>
          <w:rFonts w:asciiTheme="majorHAnsi" w:hAnsiTheme="majorHAnsi" w:cstheme="majorHAnsi"/>
        </w:rPr>
        <w:t xml:space="preserve">Olá! Seja muito bem-vindo à quarta </w:t>
      </w:r>
      <w:r w:rsidR="00150C18">
        <w:rPr>
          <w:rFonts w:asciiTheme="majorHAnsi" w:hAnsiTheme="majorHAnsi" w:cstheme="majorHAnsi"/>
        </w:rPr>
        <w:t xml:space="preserve">e última </w:t>
      </w:r>
      <w:r w:rsidRPr="00611C61">
        <w:rPr>
          <w:rFonts w:asciiTheme="majorHAnsi" w:hAnsiTheme="majorHAnsi" w:cstheme="majorHAnsi"/>
        </w:rPr>
        <w:t xml:space="preserve">aula do Curso de </w:t>
      </w:r>
      <w:r w:rsidR="00CA2ED2">
        <w:rPr>
          <w:rFonts w:asciiTheme="majorHAnsi" w:hAnsiTheme="majorHAnsi" w:cstheme="majorHAnsi"/>
        </w:rPr>
        <w:t xml:space="preserve">Fundamentos </w:t>
      </w:r>
      <w:r w:rsidR="00EE022F">
        <w:rPr>
          <w:rFonts w:asciiTheme="majorHAnsi" w:hAnsiTheme="majorHAnsi" w:cstheme="majorHAnsi"/>
        </w:rPr>
        <w:t xml:space="preserve">da </w:t>
      </w:r>
      <w:r w:rsidRPr="00611C61">
        <w:rPr>
          <w:rFonts w:asciiTheme="majorHAnsi" w:hAnsiTheme="majorHAnsi" w:cstheme="majorHAnsi"/>
        </w:rPr>
        <w:t>Tecnologia Industrial Básica!</w:t>
      </w:r>
    </w:p>
    <w:p w14:paraId="7C5B89E8" w14:textId="77777777" w:rsidR="008C1A44" w:rsidRPr="00611C61" w:rsidRDefault="008C1A44" w:rsidP="00EA63CA">
      <w:pPr>
        <w:spacing w:before="120" w:after="240" w:line="360" w:lineRule="auto"/>
        <w:jc w:val="both"/>
        <w:rPr>
          <w:rFonts w:asciiTheme="majorHAnsi" w:hAnsiTheme="majorHAnsi" w:cstheme="majorHAnsi"/>
        </w:rPr>
      </w:pPr>
      <w:r w:rsidRPr="00611C61">
        <w:rPr>
          <w:rFonts w:asciiTheme="majorHAnsi" w:hAnsiTheme="majorHAnsi" w:cstheme="majorHAnsi"/>
        </w:rPr>
        <w:t xml:space="preserve">Na aula passada falamos sobre Avaliação da Conformidade, uma atividade que tem como objetivo informar e proteger o consumidor, no que diz respeito a saúde, segurança e meio ambiente, propiciando a concorrência justa, estimulando a melhoria contínua da qualidade, facilitando o comércio internacional e fortalecendo o mercado interno. </w:t>
      </w:r>
    </w:p>
    <w:p w14:paraId="5EC67D0B" w14:textId="77777777" w:rsidR="008C1A44" w:rsidRPr="00611C61" w:rsidRDefault="008C1A44" w:rsidP="00EA63CA">
      <w:pPr>
        <w:spacing w:before="120" w:after="240" w:line="360" w:lineRule="auto"/>
        <w:jc w:val="both"/>
        <w:rPr>
          <w:rFonts w:asciiTheme="majorHAnsi" w:hAnsiTheme="majorHAnsi" w:cstheme="majorHAnsi"/>
        </w:rPr>
      </w:pPr>
      <w:r w:rsidRPr="00611C61">
        <w:rPr>
          <w:rFonts w:asciiTheme="majorHAnsi" w:hAnsiTheme="majorHAnsi" w:cstheme="majorHAnsi"/>
        </w:rPr>
        <w:t>Falamos, também, sobre Acreditação e sua importância para a credibilidade e confiança na atuação de organizações que executam atividades de Avaliação da Conformidade.</w:t>
      </w:r>
    </w:p>
    <w:p w14:paraId="7FB80142" w14:textId="77777777" w:rsidR="008C1A44" w:rsidRPr="00611C61" w:rsidRDefault="008C1A44" w:rsidP="00EA63CA">
      <w:pPr>
        <w:spacing w:before="120" w:after="240" w:line="360" w:lineRule="auto"/>
        <w:jc w:val="both"/>
        <w:rPr>
          <w:rFonts w:asciiTheme="majorHAnsi" w:hAnsiTheme="majorHAnsi" w:cstheme="majorHAnsi"/>
        </w:rPr>
      </w:pPr>
      <w:r w:rsidRPr="00611C61">
        <w:rPr>
          <w:rFonts w:asciiTheme="majorHAnsi" w:hAnsiTheme="majorHAnsi" w:cstheme="majorHAnsi"/>
        </w:rPr>
        <w:t>Na aula de hoje falaremos sobre duas atividades, que são de extrema importância para a metrologia e a avaliação da conformidade, a Normalização e a Regulamentação.</w:t>
      </w:r>
    </w:p>
    <w:p w14:paraId="51154141" w14:textId="77777777" w:rsidR="008C1A44" w:rsidRPr="00611C61" w:rsidRDefault="008C1A44" w:rsidP="00EA63CA">
      <w:pPr>
        <w:spacing w:before="120" w:after="240" w:line="360" w:lineRule="auto"/>
        <w:jc w:val="both"/>
        <w:rPr>
          <w:rFonts w:asciiTheme="majorHAnsi" w:hAnsiTheme="majorHAnsi" w:cstheme="majorHAnsi"/>
        </w:rPr>
      </w:pPr>
      <w:r w:rsidRPr="00611C61">
        <w:rPr>
          <w:rFonts w:asciiTheme="majorHAnsi" w:hAnsiTheme="majorHAnsi" w:cstheme="majorHAnsi"/>
        </w:rPr>
        <w:t>Além de conceituá-las, daremos exemplos de sua aplicabilidade no mundo produtivo contemporâneo, ressaltando suas funções na regulação (atividade exercida por autoridades governamentais a partir do estabelecimento de medidas regulatórias, entre elas os regulamentos técnicos) e na autorregulação (atividade praticada por iniciativa de representantes de um segmento produtivo com base nos requisitos estabelecidos por uma norma técnica) do mercado de bens e serviços.</w:t>
      </w:r>
    </w:p>
    <w:p w14:paraId="37753341" w14:textId="77777777" w:rsidR="008C1A44" w:rsidRPr="00611C61" w:rsidRDefault="008C1A44" w:rsidP="00EA63CA">
      <w:pPr>
        <w:spacing w:before="120" w:after="240" w:line="360" w:lineRule="auto"/>
        <w:jc w:val="both"/>
        <w:rPr>
          <w:rFonts w:asciiTheme="majorHAnsi" w:hAnsiTheme="majorHAnsi" w:cstheme="majorHAnsi"/>
        </w:rPr>
      </w:pPr>
      <w:r w:rsidRPr="00611C61">
        <w:rPr>
          <w:rFonts w:asciiTheme="majorHAnsi" w:hAnsiTheme="majorHAnsi" w:cstheme="majorHAnsi"/>
        </w:rPr>
        <w:t>A partir de conceitos estabelecidos em normas ISO e de documentos nacionais complementares, discutiremos suas características, seus objetivos, suas classificações, seus atores, seus benefícios e a relação entre essas atividades.</w:t>
      </w:r>
    </w:p>
    <w:p w14:paraId="263C19E2" w14:textId="77777777" w:rsidR="008C1A44" w:rsidRPr="00611C61" w:rsidRDefault="008C1A44" w:rsidP="00EA63CA">
      <w:pPr>
        <w:spacing w:before="120" w:after="240" w:line="360" w:lineRule="auto"/>
        <w:jc w:val="both"/>
        <w:rPr>
          <w:rFonts w:asciiTheme="majorHAnsi" w:hAnsiTheme="majorHAnsi" w:cstheme="majorHAnsi"/>
        </w:rPr>
      </w:pPr>
      <w:r w:rsidRPr="00611C61">
        <w:rPr>
          <w:rFonts w:asciiTheme="majorHAnsi" w:hAnsiTheme="majorHAnsi" w:cstheme="majorHAnsi"/>
        </w:rPr>
        <w:t>Prontos para começar?</w:t>
      </w:r>
    </w:p>
    <w:p w14:paraId="7348DE9E" w14:textId="77777777" w:rsidR="008C1A44" w:rsidRDefault="008C1A44" w:rsidP="00EA63CA">
      <w:pPr>
        <w:spacing w:before="120" w:after="240" w:line="360" w:lineRule="auto"/>
        <w:jc w:val="both"/>
        <w:rPr>
          <w:rFonts w:asciiTheme="majorHAnsi" w:hAnsiTheme="majorHAnsi" w:cstheme="majorHAnsi"/>
        </w:rPr>
      </w:pPr>
      <w:r w:rsidRPr="00611C61">
        <w:rPr>
          <w:rFonts w:asciiTheme="majorHAnsi" w:hAnsiTheme="majorHAnsi" w:cstheme="majorHAnsi"/>
        </w:rPr>
        <w:t xml:space="preserve">Então vamos lá! </w:t>
      </w:r>
    </w:p>
    <w:p w14:paraId="21209DC8" w14:textId="77777777" w:rsidR="00A70BB9" w:rsidRPr="00611C61" w:rsidRDefault="00A70BB9" w:rsidP="00EA63CA">
      <w:pPr>
        <w:spacing w:before="120" w:after="240" w:line="360" w:lineRule="auto"/>
        <w:jc w:val="both"/>
        <w:rPr>
          <w:rFonts w:asciiTheme="majorHAnsi" w:hAnsiTheme="majorHAnsi" w:cstheme="majorHAnsi"/>
        </w:rPr>
      </w:pPr>
    </w:p>
    <w:p w14:paraId="00EC8A4E" w14:textId="77777777" w:rsidR="00E457DC" w:rsidRDefault="00E457DC" w:rsidP="00EA63CA">
      <w:pPr>
        <w:pStyle w:val="Corpodetexto"/>
        <w:spacing w:before="240" w:after="120" w:line="360" w:lineRule="auto"/>
        <w:ind w:left="0"/>
        <w:jc w:val="both"/>
        <w:rPr>
          <w:rFonts w:asciiTheme="majorHAnsi" w:hAnsiTheme="majorHAnsi" w:cstheme="majorHAnsi"/>
          <w:color w:val="333333"/>
          <w:sz w:val="22"/>
          <w:szCs w:val="22"/>
        </w:rPr>
      </w:pPr>
    </w:p>
    <w:p w14:paraId="3B20F25D" w14:textId="3F2240D4" w:rsidR="00646710" w:rsidRPr="00611C61" w:rsidRDefault="00611C61" w:rsidP="001F4EDA">
      <w:pPr>
        <w:pStyle w:val="Ttulo1"/>
        <w:numPr>
          <w:ilvl w:val="0"/>
          <w:numId w:val="13"/>
        </w:numPr>
        <w:tabs>
          <w:tab w:val="left" w:pos="426"/>
        </w:tabs>
        <w:spacing w:before="0" w:line="360" w:lineRule="auto"/>
        <w:ind w:left="0" w:hanging="11"/>
        <w:jc w:val="both"/>
        <w:rPr>
          <w:rFonts w:cstheme="majorHAnsi"/>
        </w:rPr>
      </w:pPr>
      <w:bookmarkStart w:id="3" w:name="_Toc26001148"/>
      <w:bookmarkEnd w:id="0"/>
      <w:r w:rsidRPr="00611C61">
        <w:rPr>
          <w:rFonts w:cstheme="majorHAnsi"/>
        </w:rPr>
        <w:lastRenderedPageBreak/>
        <w:t>Normalização</w:t>
      </w:r>
      <w:bookmarkEnd w:id="3"/>
    </w:p>
    <w:p w14:paraId="6E084ACD" w14:textId="180583F7" w:rsidR="00611C61" w:rsidRPr="00611C61" w:rsidRDefault="00611C61" w:rsidP="00EA63CA">
      <w:pPr>
        <w:spacing w:before="120" w:after="240" w:line="360" w:lineRule="auto"/>
        <w:jc w:val="both"/>
        <w:rPr>
          <w:rFonts w:asciiTheme="majorHAnsi" w:hAnsiTheme="majorHAnsi" w:cstheme="majorHAnsi"/>
        </w:rPr>
      </w:pPr>
      <w:r w:rsidRPr="00611C61">
        <w:rPr>
          <w:rFonts w:asciiTheme="majorHAnsi" w:hAnsiTheme="majorHAnsi" w:cstheme="majorHAnsi"/>
        </w:rPr>
        <w:t>Segundo a norma ABNT ISO/IEC Guia 2:2006, “normalização é a atividade que estabelece, em relação a problemas existentes ou potenciais, prescrições destinadas à utilização comum e repetitiva com vistas à obtenção do grau ótimo de ordem em um dado</w:t>
      </w:r>
      <w:r w:rsidR="00EA63CA">
        <w:rPr>
          <w:rFonts w:asciiTheme="majorHAnsi" w:hAnsiTheme="majorHAnsi" w:cstheme="majorHAnsi"/>
        </w:rPr>
        <w:t xml:space="preserve"> </w:t>
      </w:r>
      <w:r w:rsidRPr="00611C61">
        <w:rPr>
          <w:rFonts w:asciiTheme="majorHAnsi" w:hAnsiTheme="majorHAnsi" w:cstheme="majorHAnsi"/>
        </w:rPr>
        <w:t>contexto”.</w:t>
      </w:r>
    </w:p>
    <w:p w14:paraId="306E5151" w14:textId="26A45B9F" w:rsidR="00611C61" w:rsidRPr="00611C61" w:rsidRDefault="00131B13" w:rsidP="00EA63CA">
      <w:pPr>
        <w:spacing w:before="120" w:after="240" w:line="360" w:lineRule="auto"/>
        <w:jc w:val="both"/>
        <w:rPr>
          <w:rFonts w:asciiTheme="majorHAnsi" w:hAnsiTheme="majorHAnsi" w:cstheme="majorHAnsi"/>
        </w:rPr>
      </w:pPr>
      <w:r>
        <w:rPr>
          <w:noProof/>
          <w:lang w:eastAsia="pt-BR"/>
        </w:rPr>
        <w:drawing>
          <wp:anchor distT="0" distB="0" distL="114300" distR="114300" simplePos="0" relativeHeight="251664896" behindDoc="0" locked="0" layoutInCell="1" allowOverlap="1" wp14:anchorId="3EDE638E" wp14:editId="4328FC7D">
            <wp:simplePos x="0" y="0"/>
            <wp:positionH relativeFrom="margin">
              <wp:align>left</wp:align>
            </wp:positionH>
            <wp:positionV relativeFrom="paragraph">
              <wp:posOffset>-3810</wp:posOffset>
            </wp:positionV>
            <wp:extent cx="2789555" cy="2209800"/>
            <wp:effectExtent l="0" t="0" r="0" b="0"/>
            <wp:wrapSquare wrapText="bothSides"/>
            <wp:docPr id="10" name="Imagem 10" descr="https://entib.org.br/entib/imagens/FAML_M1_A04_1_reg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b.org.br/entib/imagens/FAML_M1_A04_1_regra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955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C61" w:rsidRPr="00611C61">
        <w:rPr>
          <w:rFonts w:asciiTheme="majorHAnsi" w:hAnsiTheme="majorHAnsi" w:cstheme="majorHAnsi"/>
        </w:rPr>
        <w:t>Desse modo, consideremos que normalização é a atividade que estabelece regras comuns para as atividades humanas e seus resultados. Essas regras são estabelecidas de comum acordo entre os interessados nessas atividades e em seus resultados – em geral o setor produtivo, os consumidores e os neutros (entre os quais se encaixam, por exemplo, pesquisadores, academia, governo e ONGs).</w:t>
      </w:r>
    </w:p>
    <w:p w14:paraId="369EF65A" w14:textId="0F7FABC0" w:rsidR="00611C61" w:rsidRPr="00611C61" w:rsidRDefault="00611C61" w:rsidP="00EA63CA">
      <w:pPr>
        <w:spacing w:before="120" w:after="240" w:line="360" w:lineRule="auto"/>
        <w:jc w:val="both"/>
        <w:rPr>
          <w:rFonts w:asciiTheme="majorHAnsi" w:hAnsiTheme="majorHAnsi" w:cstheme="majorHAnsi"/>
        </w:rPr>
      </w:pPr>
      <w:r w:rsidRPr="00611C61">
        <w:rPr>
          <w:rFonts w:asciiTheme="majorHAnsi" w:hAnsiTheme="majorHAnsi" w:cstheme="majorHAnsi"/>
        </w:rPr>
        <w:t>A normalização é aplicável a qualquer material, componente, equipamento, sistema, interface, protocolo, procedimento, função, método ou atividade, podendo limitar-se aos aspectos particulares de qualquer assunto.</w:t>
      </w:r>
    </w:p>
    <w:p w14:paraId="60176E36" w14:textId="037E23BB" w:rsidR="00611C61" w:rsidRPr="00446EA9" w:rsidRDefault="00D41241" w:rsidP="00446EA9">
      <w:pPr>
        <w:pStyle w:val="Ttulo2"/>
        <w:numPr>
          <w:ilvl w:val="0"/>
          <w:numId w:val="0"/>
        </w:numPr>
        <w:tabs>
          <w:tab w:val="left" w:pos="567"/>
        </w:tabs>
        <w:spacing w:before="120" w:beforeAutospacing="0" w:after="240" w:afterAutospacing="0" w:line="360" w:lineRule="auto"/>
        <w:rPr>
          <w:sz w:val="24"/>
          <w:szCs w:val="24"/>
        </w:rPr>
      </w:pPr>
      <w:bookmarkStart w:id="4" w:name="_Toc26001149"/>
      <w:r w:rsidRPr="00446EA9">
        <w:rPr>
          <w:sz w:val="24"/>
          <w:szCs w:val="24"/>
        </w:rPr>
        <w:t>Mas como ela surgiu?</w:t>
      </w:r>
      <w:bookmarkEnd w:id="4"/>
    </w:p>
    <w:p w14:paraId="60D13CB8" w14:textId="33500359" w:rsidR="00C437E4" w:rsidRPr="00C437E4" w:rsidRDefault="00611C61" w:rsidP="00EA63CA">
      <w:pPr>
        <w:spacing w:before="120" w:after="240" w:line="360" w:lineRule="auto"/>
        <w:jc w:val="both"/>
        <w:rPr>
          <w:rFonts w:asciiTheme="majorHAnsi" w:hAnsiTheme="majorHAnsi" w:cstheme="majorHAnsi"/>
        </w:rPr>
      </w:pPr>
      <w:r w:rsidRPr="00611C61">
        <w:rPr>
          <w:rFonts w:asciiTheme="majorHAnsi" w:hAnsiTheme="majorHAnsi" w:cstheme="majorHAnsi"/>
        </w:rPr>
        <w:t>A construção de regras ou normas se faz desde quando o homem começou a viver em sociedade, mais especificamente quando o homem começou a atividade do comércio. A troca de mercadorias entre os produtores, cada vez mais intensa, criou a necessidade do estabelecimento de regras e, por consequência, da definição de padrões. Desse modo, a humanidade se desenvolveu.</w:t>
      </w:r>
      <w:r w:rsidR="00C437E4">
        <w:rPr>
          <w:rFonts w:asciiTheme="majorHAnsi" w:hAnsiTheme="majorHAnsi" w:cstheme="majorHAnsi"/>
        </w:rPr>
        <w:t xml:space="preserve"> </w:t>
      </w:r>
      <w:r w:rsidR="00C437E4" w:rsidRPr="00C437E4">
        <w:rPr>
          <w:rFonts w:asciiTheme="majorHAnsi" w:hAnsiTheme="majorHAnsi" w:cstheme="majorHAnsi"/>
        </w:rPr>
        <w:t>As regras eram e até hoje são estabelecidas por</w:t>
      </w:r>
      <w:r w:rsidR="00C437E4">
        <w:rPr>
          <w:rFonts w:asciiTheme="majorHAnsi" w:hAnsiTheme="majorHAnsi" w:cstheme="majorHAnsi"/>
        </w:rPr>
        <w:t xml:space="preserve"> </w:t>
      </w:r>
      <w:r w:rsidR="00C437E4" w:rsidRPr="00C437E4">
        <w:rPr>
          <w:rFonts w:asciiTheme="majorHAnsi" w:hAnsiTheme="majorHAnsi" w:cstheme="majorHAnsi"/>
        </w:rPr>
        <w:t>quem detém o poder político e econômico, que cria e mantém padrões com o intuito</w:t>
      </w:r>
      <w:r w:rsidR="00C437E4">
        <w:rPr>
          <w:rFonts w:asciiTheme="majorHAnsi" w:hAnsiTheme="majorHAnsi" w:cstheme="majorHAnsi"/>
        </w:rPr>
        <w:t xml:space="preserve"> </w:t>
      </w:r>
      <w:r w:rsidR="00C437E4" w:rsidRPr="00C437E4">
        <w:rPr>
          <w:rFonts w:asciiTheme="majorHAnsi" w:hAnsiTheme="majorHAnsi" w:cstheme="majorHAnsi"/>
        </w:rPr>
        <w:t>de ordenar as atividades humanas.</w:t>
      </w:r>
    </w:p>
    <w:p w14:paraId="3DCAFCB5" w14:textId="1F9D3604" w:rsidR="00C437E4" w:rsidRPr="00C437E4" w:rsidRDefault="00AF12FA" w:rsidP="00EA63CA">
      <w:pPr>
        <w:spacing w:before="120" w:after="240" w:line="360" w:lineRule="auto"/>
        <w:jc w:val="both"/>
        <w:rPr>
          <w:rFonts w:asciiTheme="majorHAnsi" w:hAnsiTheme="majorHAnsi" w:cstheme="majorHAnsi"/>
        </w:rPr>
      </w:pPr>
      <w:r>
        <w:rPr>
          <w:noProof/>
          <w:lang w:eastAsia="pt-BR"/>
        </w:rPr>
        <w:drawing>
          <wp:anchor distT="0" distB="0" distL="114300" distR="114300" simplePos="0" relativeHeight="251662848" behindDoc="0" locked="0" layoutInCell="1" allowOverlap="1" wp14:anchorId="2B258561" wp14:editId="6714854B">
            <wp:simplePos x="0" y="0"/>
            <wp:positionH relativeFrom="margin">
              <wp:align>left</wp:align>
            </wp:positionH>
            <wp:positionV relativeFrom="paragraph">
              <wp:posOffset>10795</wp:posOffset>
            </wp:positionV>
            <wp:extent cx="3003550" cy="1689100"/>
            <wp:effectExtent l="0" t="0" r="6350" b="6350"/>
            <wp:wrapSquare wrapText="bothSides"/>
            <wp:docPr id="6" name="Imagem 6" descr="Resultado de imagem para revoluÃ§Ã£o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revoluÃ§Ã£o industri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55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7E4" w:rsidRPr="00C437E4">
        <w:rPr>
          <w:rFonts w:asciiTheme="majorHAnsi" w:hAnsiTheme="majorHAnsi" w:cstheme="majorHAnsi"/>
        </w:rPr>
        <w:t>A Revolução Industrial possibilitou a produção de mercadorias em série. Tal forma de produzir se fundamenta em prescrições técnicas (normas), para que todos os produtos tenham o mesmo padrão de uso, possibilitando, ainda, aos países industrializados um grande avanço nos mercados mundiais.</w:t>
      </w:r>
    </w:p>
    <w:p w14:paraId="4BE86B71" w14:textId="12A2C880" w:rsidR="00C437E4" w:rsidRPr="00C437E4" w:rsidRDefault="00C437E4" w:rsidP="00EA63CA">
      <w:pPr>
        <w:spacing w:before="120" w:after="240" w:line="360" w:lineRule="auto"/>
        <w:jc w:val="both"/>
        <w:rPr>
          <w:rFonts w:asciiTheme="majorHAnsi" w:hAnsiTheme="majorHAnsi" w:cstheme="majorHAnsi"/>
        </w:rPr>
      </w:pPr>
      <w:r w:rsidRPr="00C437E4">
        <w:rPr>
          <w:rFonts w:asciiTheme="majorHAnsi" w:hAnsiTheme="majorHAnsi" w:cstheme="majorHAnsi"/>
        </w:rPr>
        <w:lastRenderedPageBreak/>
        <w:t>Hoje a normalização desempenha papel marcante no comércio mundial, uma vez que as normas de produção não são mais elaboradas apenas para atender a mercados nacionais. Com o intuito de levar a qualidade de seus produtos a outros mercados, as indústrias nacionais, atualmente, investem na elabo</w:t>
      </w:r>
      <w:r w:rsidR="00812B7B">
        <w:rPr>
          <w:rFonts w:asciiTheme="majorHAnsi" w:hAnsiTheme="majorHAnsi" w:cstheme="majorHAnsi"/>
        </w:rPr>
        <w:t>ração de normas que visam aten</w:t>
      </w:r>
      <w:r w:rsidRPr="00C437E4">
        <w:rPr>
          <w:rFonts w:asciiTheme="majorHAnsi" w:hAnsiTheme="majorHAnsi" w:cstheme="majorHAnsi"/>
        </w:rPr>
        <w:t>der a um mercado globalizado, sem fronteiras, em que as</w:t>
      </w:r>
      <w:r w:rsidR="00EA080E">
        <w:rPr>
          <w:rFonts w:asciiTheme="majorHAnsi" w:hAnsiTheme="majorHAnsi" w:cstheme="majorHAnsi"/>
        </w:rPr>
        <w:t xml:space="preserve"> </w:t>
      </w:r>
      <w:r w:rsidRPr="00C437E4">
        <w:rPr>
          <w:rFonts w:asciiTheme="majorHAnsi" w:hAnsiTheme="majorHAnsi" w:cstheme="majorHAnsi"/>
        </w:rPr>
        <w:t>empresas dependem de sua capacidade de incorporar novas tecnologias em produtos, processos e serviços para manter a competitividade. Nesse contexto, a normalização é cada vez mais um meio de alcançar a redução de custo da produção e do produto final, mantendo ou melhorando sua qualidade, fazendo, assim, com que se obtenha sucesso comercial.</w:t>
      </w:r>
    </w:p>
    <w:p w14:paraId="020B5B5B" w14:textId="77777777" w:rsidR="001E1C47" w:rsidRPr="001E1C47" w:rsidRDefault="001E1C47" w:rsidP="001F4EDA">
      <w:pPr>
        <w:pStyle w:val="Ttulo2"/>
        <w:numPr>
          <w:ilvl w:val="1"/>
          <w:numId w:val="13"/>
        </w:numPr>
        <w:tabs>
          <w:tab w:val="left" w:pos="567"/>
        </w:tabs>
        <w:spacing w:before="120" w:beforeAutospacing="0" w:after="240" w:afterAutospacing="0" w:line="360" w:lineRule="auto"/>
        <w:ind w:left="0" w:firstLine="0"/>
      </w:pPr>
      <w:bookmarkStart w:id="5" w:name="_Toc26001150"/>
      <w:r w:rsidRPr="001E1C47">
        <w:t>Princípios da normalização</w:t>
      </w:r>
      <w:bookmarkEnd w:id="5"/>
    </w:p>
    <w:p w14:paraId="1D128CA6" w14:textId="219D1419" w:rsidR="001E1C47" w:rsidRPr="001E1C47" w:rsidRDefault="001E1C47" w:rsidP="00EA63CA">
      <w:pPr>
        <w:spacing w:before="120" w:after="240" w:line="360" w:lineRule="auto"/>
        <w:jc w:val="both"/>
        <w:rPr>
          <w:rFonts w:asciiTheme="majorHAnsi" w:hAnsiTheme="majorHAnsi" w:cstheme="majorHAnsi"/>
        </w:rPr>
      </w:pPr>
      <w:r w:rsidRPr="001E1C47">
        <w:rPr>
          <w:rFonts w:asciiTheme="majorHAnsi" w:hAnsiTheme="majorHAnsi" w:cstheme="majorHAnsi"/>
        </w:rPr>
        <w:t>Segundo a ABNT ISO/IEC Guia 2:2006, a atividade de normalização se ori</w:t>
      </w:r>
      <w:r w:rsidR="0082206E">
        <w:rPr>
          <w:rFonts w:asciiTheme="majorHAnsi" w:hAnsiTheme="majorHAnsi" w:cstheme="majorHAnsi"/>
        </w:rPr>
        <w:t>enta pelos princípios a seguir.</w:t>
      </w:r>
    </w:p>
    <w:p w14:paraId="6BAA7D91" w14:textId="77777777" w:rsidR="001E1C47" w:rsidRPr="00131B13" w:rsidRDefault="001E1C47" w:rsidP="0082206E">
      <w:pPr>
        <w:tabs>
          <w:tab w:val="left" w:pos="426"/>
        </w:tabs>
        <w:spacing w:before="120" w:after="240" w:line="360" w:lineRule="auto"/>
        <w:jc w:val="both"/>
        <w:rPr>
          <w:rFonts w:asciiTheme="majorHAnsi" w:hAnsiTheme="majorHAnsi" w:cstheme="majorHAnsi"/>
          <w:color w:val="E1B937"/>
        </w:rPr>
      </w:pPr>
      <w:r w:rsidRPr="00131B13">
        <w:rPr>
          <w:rFonts w:asciiTheme="majorHAnsi" w:hAnsiTheme="majorHAnsi" w:cstheme="majorHAnsi"/>
          <w:color w:val="E1B937"/>
        </w:rPr>
        <w:t>●</w:t>
      </w:r>
      <w:r w:rsidRPr="00131B13">
        <w:rPr>
          <w:rFonts w:asciiTheme="majorHAnsi" w:hAnsiTheme="majorHAnsi" w:cstheme="majorHAnsi"/>
          <w:color w:val="E1B937"/>
        </w:rPr>
        <w:tab/>
      </w:r>
      <w:r w:rsidRPr="00131B13">
        <w:rPr>
          <w:rFonts w:asciiTheme="majorHAnsi" w:hAnsiTheme="majorHAnsi" w:cstheme="majorHAnsi"/>
          <w:b/>
          <w:color w:val="E1B937"/>
        </w:rPr>
        <w:t>Voluntariedade</w:t>
      </w:r>
    </w:p>
    <w:p w14:paraId="788D0F8E" w14:textId="2E02C55E" w:rsidR="001E1C47" w:rsidRPr="0082206E" w:rsidRDefault="001E1C47" w:rsidP="0082206E">
      <w:pPr>
        <w:spacing w:before="120" w:after="240" w:line="360" w:lineRule="auto"/>
        <w:jc w:val="both"/>
        <w:rPr>
          <w:rFonts w:asciiTheme="majorHAnsi" w:hAnsiTheme="majorHAnsi" w:cstheme="majorHAnsi"/>
        </w:rPr>
      </w:pPr>
      <w:r w:rsidRPr="001E1C47">
        <w:rPr>
          <w:rFonts w:asciiTheme="majorHAnsi" w:hAnsiTheme="majorHAnsi" w:cstheme="majorHAnsi"/>
        </w:rPr>
        <w:t xml:space="preserve"> A participação na atividade de elaboração de normas técnicas (normalização) não é obrigatória nem remunerada e depende de uma decisão voluntária dos interessados. Diz respeito também ao cumprimento dos requisitos estabelecidos por uma norma. O uso das normas ou o atendimento aos requisitos normativos pelo setor produtiv</w:t>
      </w:r>
      <w:r w:rsidR="0082206E">
        <w:rPr>
          <w:rFonts w:asciiTheme="majorHAnsi" w:hAnsiTheme="majorHAnsi" w:cstheme="majorHAnsi"/>
        </w:rPr>
        <w:t>o é, por princípio, voluntário.</w:t>
      </w:r>
    </w:p>
    <w:p w14:paraId="569AA8A8" w14:textId="77777777" w:rsidR="001E1C47" w:rsidRPr="00131B13" w:rsidRDefault="001E1C47" w:rsidP="0082206E">
      <w:pPr>
        <w:tabs>
          <w:tab w:val="left" w:pos="426"/>
        </w:tabs>
        <w:spacing w:before="120" w:after="240" w:line="360" w:lineRule="auto"/>
        <w:jc w:val="both"/>
        <w:rPr>
          <w:rFonts w:asciiTheme="majorHAnsi" w:hAnsiTheme="majorHAnsi" w:cstheme="majorHAnsi"/>
          <w:color w:val="E1B937"/>
        </w:rPr>
      </w:pPr>
      <w:r w:rsidRPr="00131B13">
        <w:rPr>
          <w:rFonts w:asciiTheme="majorHAnsi" w:hAnsiTheme="majorHAnsi" w:cstheme="majorHAnsi"/>
          <w:color w:val="E1B937"/>
        </w:rPr>
        <w:t>●</w:t>
      </w:r>
      <w:r w:rsidRPr="00131B13">
        <w:rPr>
          <w:rFonts w:asciiTheme="majorHAnsi" w:hAnsiTheme="majorHAnsi" w:cstheme="majorHAnsi"/>
          <w:b/>
          <w:color w:val="E1B937"/>
        </w:rPr>
        <w:tab/>
        <w:t>Representatividade</w:t>
      </w:r>
    </w:p>
    <w:p w14:paraId="25C14A5E" w14:textId="7E43ABB1" w:rsidR="001E1C47" w:rsidRPr="001E1C47" w:rsidRDefault="001E1C47" w:rsidP="00EA63CA">
      <w:pPr>
        <w:spacing w:before="120" w:after="240" w:line="360" w:lineRule="auto"/>
        <w:jc w:val="both"/>
        <w:rPr>
          <w:rFonts w:asciiTheme="majorHAnsi" w:hAnsiTheme="majorHAnsi" w:cstheme="majorHAnsi"/>
        </w:rPr>
      </w:pPr>
      <w:r w:rsidRPr="001E1C47">
        <w:rPr>
          <w:rFonts w:asciiTheme="majorHAnsi" w:hAnsiTheme="majorHAnsi" w:cstheme="majorHAnsi"/>
        </w:rPr>
        <w:t>O processo de normalização deve contemplar o envolvimento das partes interessadas,</w:t>
      </w:r>
      <w:r w:rsidR="0082206E">
        <w:rPr>
          <w:rFonts w:asciiTheme="majorHAnsi" w:hAnsiTheme="majorHAnsi" w:cstheme="majorHAnsi"/>
        </w:rPr>
        <w:t xml:space="preserve"> </w:t>
      </w:r>
      <w:r w:rsidRPr="001E1C47">
        <w:rPr>
          <w:rFonts w:asciiTheme="majorHAnsi" w:hAnsiTheme="majorHAnsi" w:cstheme="majorHAnsi"/>
        </w:rPr>
        <w:t>quais sejam: o setor produtivo (indústria), o governo</w:t>
      </w:r>
      <w:r w:rsidR="0082206E">
        <w:rPr>
          <w:rFonts w:asciiTheme="majorHAnsi" w:hAnsiTheme="majorHAnsi" w:cstheme="majorHAnsi"/>
        </w:rPr>
        <w:t>, os consumidores e os neutros.</w:t>
      </w:r>
    </w:p>
    <w:p w14:paraId="034ECC86" w14:textId="77777777" w:rsidR="001E1C47" w:rsidRPr="00131B13" w:rsidRDefault="001E1C47" w:rsidP="0082206E">
      <w:pPr>
        <w:tabs>
          <w:tab w:val="left" w:pos="426"/>
        </w:tabs>
        <w:spacing w:before="120" w:after="240" w:line="360" w:lineRule="auto"/>
        <w:jc w:val="both"/>
        <w:rPr>
          <w:rFonts w:asciiTheme="majorHAnsi" w:hAnsiTheme="majorHAnsi" w:cstheme="majorHAnsi"/>
          <w:color w:val="E1B937"/>
        </w:rPr>
      </w:pPr>
      <w:r w:rsidRPr="00131B13">
        <w:rPr>
          <w:rFonts w:asciiTheme="majorHAnsi" w:hAnsiTheme="majorHAnsi" w:cstheme="majorHAnsi"/>
          <w:color w:val="E1B937"/>
        </w:rPr>
        <w:t>●</w:t>
      </w:r>
      <w:r w:rsidRPr="00131B13">
        <w:rPr>
          <w:rFonts w:asciiTheme="majorHAnsi" w:hAnsiTheme="majorHAnsi" w:cstheme="majorHAnsi"/>
          <w:b/>
          <w:color w:val="E1B937"/>
        </w:rPr>
        <w:tab/>
        <w:t>Paridade</w:t>
      </w:r>
    </w:p>
    <w:p w14:paraId="08663F06" w14:textId="1AFECCE3" w:rsidR="00C437E4" w:rsidRDefault="001E1C47" w:rsidP="00EA63CA">
      <w:pPr>
        <w:spacing w:before="120" w:after="240" w:line="360" w:lineRule="auto"/>
        <w:jc w:val="both"/>
        <w:rPr>
          <w:rFonts w:asciiTheme="majorHAnsi" w:hAnsiTheme="majorHAnsi" w:cstheme="majorHAnsi"/>
        </w:rPr>
      </w:pPr>
      <w:r w:rsidRPr="001E1C47">
        <w:rPr>
          <w:rFonts w:asciiTheme="majorHAnsi" w:hAnsiTheme="majorHAnsi" w:cstheme="majorHAnsi"/>
        </w:rPr>
        <w:t xml:space="preserve">A representatividade não é suficiente. É necessário, ainda, haver um equilíbrio entre as partes representadas, para que o interesse de uma parte não se sobreponha ao </w:t>
      </w:r>
      <w:r w:rsidR="00BD57F5">
        <w:rPr>
          <w:rFonts w:asciiTheme="majorHAnsi" w:hAnsiTheme="majorHAnsi" w:cstheme="majorHAnsi"/>
        </w:rPr>
        <w:t xml:space="preserve">interesse de </w:t>
      </w:r>
      <w:r w:rsidR="00BD57F5" w:rsidRPr="001E1C47">
        <w:rPr>
          <w:rFonts w:asciiTheme="majorHAnsi" w:hAnsiTheme="majorHAnsi" w:cstheme="majorHAnsi"/>
        </w:rPr>
        <w:t>outr</w:t>
      </w:r>
      <w:r w:rsidR="00BD57F5">
        <w:rPr>
          <w:rFonts w:asciiTheme="majorHAnsi" w:hAnsiTheme="majorHAnsi" w:cstheme="majorHAnsi"/>
        </w:rPr>
        <w:t>a</w:t>
      </w:r>
      <w:r w:rsidRPr="001E1C47">
        <w:rPr>
          <w:rFonts w:asciiTheme="majorHAnsi" w:hAnsiTheme="majorHAnsi" w:cstheme="majorHAnsi"/>
        </w:rPr>
        <w:t>. Portanto, independentemente do número de representantes de cada parte interessada, cada um dele</w:t>
      </w:r>
      <w:r w:rsidR="0082206E">
        <w:rPr>
          <w:rFonts w:asciiTheme="majorHAnsi" w:hAnsiTheme="majorHAnsi" w:cstheme="majorHAnsi"/>
        </w:rPr>
        <w:t>s tem direito a apenas um voto.</w:t>
      </w:r>
    </w:p>
    <w:p w14:paraId="049DB078" w14:textId="77777777" w:rsidR="001E1C47" w:rsidRPr="00131B13" w:rsidRDefault="001E1C47" w:rsidP="0082206E">
      <w:pPr>
        <w:tabs>
          <w:tab w:val="left" w:pos="426"/>
        </w:tabs>
        <w:spacing w:before="120" w:after="240" w:line="360" w:lineRule="auto"/>
        <w:jc w:val="both"/>
        <w:rPr>
          <w:rFonts w:asciiTheme="majorHAnsi" w:hAnsiTheme="majorHAnsi" w:cstheme="majorHAnsi"/>
          <w:b/>
          <w:color w:val="E1B937"/>
        </w:rPr>
      </w:pPr>
      <w:r w:rsidRPr="00131B13">
        <w:rPr>
          <w:rFonts w:asciiTheme="majorHAnsi" w:hAnsiTheme="majorHAnsi" w:cstheme="majorHAnsi"/>
          <w:b/>
          <w:color w:val="E1B937"/>
        </w:rPr>
        <w:t>●</w:t>
      </w:r>
      <w:r w:rsidRPr="00131B13">
        <w:rPr>
          <w:rFonts w:asciiTheme="majorHAnsi" w:hAnsiTheme="majorHAnsi" w:cstheme="majorHAnsi"/>
          <w:b/>
          <w:color w:val="E1B937"/>
        </w:rPr>
        <w:tab/>
        <w:t>Consenso</w:t>
      </w:r>
    </w:p>
    <w:p w14:paraId="392084D7" w14:textId="0975D34F" w:rsidR="001E1C47" w:rsidRPr="001E1C47" w:rsidRDefault="001E1C47" w:rsidP="00EA63CA">
      <w:pPr>
        <w:spacing w:before="120" w:after="240" w:line="360" w:lineRule="auto"/>
        <w:jc w:val="both"/>
        <w:rPr>
          <w:rFonts w:asciiTheme="majorHAnsi" w:hAnsiTheme="majorHAnsi" w:cstheme="majorHAnsi"/>
        </w:rPr>
      </w:pPr>
      <w:r w:rsidRPr="001E1C47">
        <w:rPr>
          <w:rFonts w:asciiTheme="majorHAnsi" w:hAnsiTheme="majorHAnsi" w:cstheme="majorHAnsi"/>
        </w:rPr>
        <w:t>O consenso é o meio de atingir o equilíbrio, um acordo geral, caracterizado pela ausência de oposição fundamentada em aspectos significativos por qualquer parte interessada e envolvida na elaboração de uma norma, por meio de um processo que busca levar em conta a posição de todas as partes e a conciliação</w:t>
      </w:r>
      <w:r>
        <w:rPr>
          <w:rFonts w:asciiTheme="majorHAnsi" w:hAnsiTheme="majorHAnsi" w:cstheme="majorHAnsi"/>
        </w:rPr>
        <w:t xml:space="preserve"> de opiniões conflitantes. Con</w:t>
      </w:r>
      <w:r w:rsidRPr="001E1C47">
        <w:rPr>
          <w:rFonts w:asciiTheme="majorHAnsi" w:hAnsiTheme="majorHAnsi" w:cstheme="majorHAnsi"/>
        </w:rPr>
        <w:t xml:space="preserve">senso não implica, necessariamente, </w:t>
      </w:r>
      <w:r w:rsidRPr="001E1C47">
        <w:rPr>
          <w:rFonts w:asciiTheme="majorHAnsi" w:hAnsiTheme="majorHAnsi" w:cstheme="majorHAnsi"/>
        </w:rPr>
        <w:lastRenderedPageBreak/>
        <w:t>unanimidade. É</w:t>
      </w:r>
      <w:r>
        <w:rPr>
          <w:rFonts w:asciiTheme="majorHAnsi" w:hAnsiTheme="majorHAnsi" w:cstheme="majorHAnsi"/>
        </w:rPr>
        <w:t xml:space="preserve"> um processo de negociação para </w:t>
      </w:r>
      <w:r w:rsidRPr="001E1C47">
        <w:rPr>
          <w:rFonts w:asciiTheme="majorHAnsi" w:hAnsiTheme="majorHAnsi" w:cstheme="majorHAnsi"/>
        </w:rPr>
        <w:t>o equilíbrio dos interesses das partes envolvidas em</w:t>
      </w:r>
      <w:r w:rsidR="0082206E">
        <w:rPr>
          <w:rFonts w:asciiTheme="majorHAnsi" w:hAnsiTheme="majorHAnsi" w:cstheme="majorHAnsi"/>
        </w:rPr>
        <w:t xml:space="preserve"> dado processo de normalização.</w:t>
      </w:r>
    </w:p>
    <w:p w14:paraId="2F94FC48" w14:textId="77777777" w:rsidR="001E1C47" w:rsidRPr="00131B13" w:rsidRDefault="001E1C47" w:rsidP="0082206E">
      <w:pPr>
        <w:tabs>
          <w:tab w:val="left" w:pos="426"/>
        </w:tabs>
        <w:spacing w:before="120" w:after="240" w:line="360" w:lineRule="auto"/>
        <w:jc w:val="both"/>
        <w:rPr>
          <w:rFonts w:asciiTheme="majorHAnsi" w:hAnsiTheme="majorHAnsi" w:cstheme="majorHAnsi"/>
          <w:b/>
          <w:color w:val="E1B937"/>
        </w:rPr>
      </w:pPr>
      <w:r w:rsidRPr="00131B13">
        <w:rPr>
          <w:rFonts w:asciiTheme="majorHAnsi" w:hAnsiTheme="majorHAnsi" w:cstheme="majorHAnsi"/>
          <w:b/>
          <w:color w:val="E1B937"/>
        </w:rPr>
        <w:t>●</w:t>
      </w:r>
      <w:r w:rsidRPr="00131B13">
        <w:rPr>
          <w:rFonts w:asciiTheme="majorHAnsi" w:hAnsiTheme="majorHAnsi" w:cstheme="majorHAnsi"/>
          <w:b/>
          <w:color w:val="E1B937"/>
        </w:rPr>
        <w:tab/>
        <w:t>Atualização</w:t>
      </w:r>
    </w:p>
    <w:p w14:paraId="4F4C85FC" w14:textId="083831A1" w:rsidR="001E1C47" w:rsidRPr="001E1C47" w:rsidRDefault="001E1C47" w:rsidP="00EA63CA">
      <w:pPr>
        <w:spacing w:before="120" w:after="240" w:line="360" w:lineRule="auto"/>
        <w:jc w:val="both"/>
        <w:rPr>
          <w:rFonts w:asciiTheme="majorHAnsi" w:hAnsiTheme="majorHAnsi" w:cstheme="majorHAnsi"/>
        </w:rPr>
      </w:pPr>
      <w:r w:rsidRPr="001E1C47">
        <w:rPr>
          <w:rFonts w:asciiTheme="majorHAnsi" w:hAnsiTheme="majorHAnsi" w:cstheme="majorHAnsi"/>
        </w:rPr>
        <w:t>Deve-se acompanhar os avanços tecnológicos; por isso a</w:t>
      </w:r>
      <w:r>
        <w:rPr>
          <w:rFonts w:asciiTheme="majorHAnsi" w:hAnsiTheme="majorHAnsi" w:cstheme="majorHAnsi"/>
        </w:rPr>
        <w:t xml:space="preserve"> atualização periódica das nor</w:t>
      </w:r>
      <w:r w:rsidRPr="001E1C47">
        <w:rPr>
          <w:rFonts w:asciiTheme="majorHAnsi" w:hAnsiTheme="majorHAnsi" w:cstheme="majorHAnsi"/>
        </w:rPr>
        <w:t>mas é fundamental. Uma boa prática de normalização é, pelo menos de cinco em cinco anos, submeter as normas técnicas a um processo de análise crítica visando à identificação da necessidade de atualização.</w:t>
      </w:r>
    </w:p>
    <w:p w14:paraId="45BCFF2C" w14:textId="77777777" w:rsidR="001E1C47" w:rsidRPr="00131B13" w:rsidRDefault="001E1C47" w:rsidP="0082206E">
      <w:pPr>
        <w:tabs>
          <w:tab w:val="left" w:pos="426"/>
        </w:tabs>
        <w:spacing w:before="120" w:after="240" w:line="360" w:lineRule="auto"/>
        <w:jc w:val="both"/>
        <w:rPr>
          <w:rFonts w:asciiTheme="majorHAnsi" w:hAnsiTheme="majorHAnsi" w:cstheme="majorHAnsi"/>
          <w:color w:val="E1B937"/>
        </w:rPr>
      </w:pPr>
      <w:r w:rsidRPr="00131B13">
        <w:rPr>
          <w:rFonts w:asciiTheme="majorHAnsi" w:hAnsiTheme="majorHAnsi" w:cstheme="majorHAnsi"/>
          <w:color w:val="E1B937"/>
        </w:rPr>
        <w:t>●</w:t>
      </w:r>
      <w:r w:rsidRPr="00131B13">
        <w:rPr>
          <w:rFonts w:asciiTheme="majorHAnsi" w:hAnsiTheme="majorHAnsi" w:cstheme="majorHAnsi"/>
          <w:b/>
          <w:color w:val="E1B937"/>
        </w:rPr>
        <w:tab/>
        <w:t>Simplificação</w:t>
      </w:r>
    </w:p>
    <w:p w14:paraId="5D5C4353" w14:textId="6D7ADD8C" w:rsidR="001E1C47" w:rsidRPr="001E1C47" w:rsidRDefault="001E1C47" w:rsidP="00EA63CA">
      <w:pPr>
        <w:spacing w:before="120" w:after="240" w:line="360" w:lineRule="auto"/>
        <w:jc w:val="both"/>
        <w:rPr>
          <w:rFonts w:asciiTheme="majorHAnsi" w:hAnsiTheme="majorHAnsi" w:cstheme="majorHAnsi"/>
        </w:rPr>
      </w:pPr>
      <w:r w:rsidRPr="001E1C47">
        <w:rPr>
          <w:rFonts w:asciiTheme="majorHAnsi" w:hAnsiTheme="majorHAnsi" w:cstheme="majorHAnsi"/>
        </w:rPr>
        <w:t>O procedimento de normalização deve ter regras e procedimentos simples e acessíveis, que garantam a coerência, a rapidez e a qualidade</w:t>
      </w:r>
      <w:r>
        <w:rPr>
          <w:rFonts w:asciiTheme="majorHAnsi" w:hAnsiTheme="majorHAnsi" w:cstheme="majorHAnsi"/>
        </w:rPr>
        <w:t xml:space="preserve"> no desenvolvimento e na imple</w:t>
      </w:r>
      <w:r w:rsidR="0082206E">
        <w:rPr>
          <w:rFonts w:asciiTheme="majorHAnsi" w:hAnsiTheme="majorHAnsi" w:cstheme="majorHAnsi"/>
        </w:rPr>
        <w:t>mentação de normas.</w:t>
      </w:r>
    </w:p>
    <w:p w14:paraId="378FB260" w14:textId="2BC93E46" w:rsidR="001E1C47" w:rsidRPr="001E1C47" w:rsidRDefault="001E1C47" w:rsidP="00EA63CA">
      <w:pPr>
        <w:spacing w:before="120" w:after="240" w:line="360" w:lineRule="auto"/>
        <w:jc w:val="both"/>
        <w:rPr>
          <w:rFonts w:asciiTheme="majorHAnsi" w:hAnsiTheme="majorHAnsi" w:cstheme="majorHAnsi"/>
        </w:rPr>
      </w:pPr>
      <w:r w:rsidRPr="001E1C47">
        <w:rPr>
          <w:rFonts w:asciiTheme="majorHAnsi" w:hAnsiTheme="majorHAnsi" w:cstheme="majorHAnsi"/>
        </w:rPr>
        <w:t>A Associação Brasileira de Normas Técnicas (ABNT) disp</w:t>
      </w:r>
      <w:r>
        <w:rPr>
          <w:rFonts w:asciiTheme="majorHAnsi" w:hAnsiTheme="majorHAnsi" w:cstheme="majorHAnsi"/>
        </w:rPr>
        <w:t>onibiliza, atualmente, uma fer</w:t>
      </w:r>
      <w:r w:rsidRPr="001E1C47">
        <w:rPr>
          <w:rFonts w:asciiTheme="majorHAnsi" w:hAnsiTheme="majorHAnsi" w:cstheme="majorHAnsi"/>
        </w:rPr>
        <w:t xml:space="preserve">ramenta chamada Live Link, que permite a qualquer cidadão participar do processo de normalização pela internet. Basta acessar o endereço eletrônico </w:t>
      </w:r>
      <w:hyperlink r:id="rId12" w:history="1">
        <w:r w:rsidR="00AF12FA" w:rsidRPr="001E16CE">
          <w:rPr>
            <w:rStyle w:val="Hyperlink"/>
            <w:i/>
          </w:rPr>
          <w:t>http://www.abnt.org.br/normalizacao/livelink</w:t>
        </w:r>
      </w:hyperlink>
      <w:r w:rsidRPr="001E1C47">
        <w:rPr>
          <w:rFonts w:asciiTheme="majorHAnsi" w:hAnsiTheme="majorHAnsi" w:cstheme="majorHAnsi"/>
        </w:rPr>
        <w:t>, clicar em Live Link e participar da produção de uma norma.</w:t>
      </w:r>
    </w:p>
    <w:p w14:paraId="73FC6F6B" w14:textId="77777777" w:rsidR="001E1C47" w:rsidRPr="00611C61" w:rsidRDefault="001E1C47" w:rsidP="00EA63CA">
      <w:pPr>
        <w:spacing w:before="120" w:after="240" w:line="360" w:lineRule="auto"/>
        <w:jc w:val="both"/>
        <w:rPr>
          <w:rFonts w:asciiTheme="majorHAnsi" w:hAnsiTheme="majorHAnsi" w:cstheme="majorHAnsi"/>
        </w:rPr>
      </w:pPr>
    </w:p>
    <w:p w14:paraId="1FDAA250" w14:textId="1D923AC6" w:rsidR="001E1C47" w:rsidRPr="0082206E" w:rsidRDefault="001E1C47" w:rsidP="001F4EDA">
      <w:pPr>
        <w:pStyle w:val="Ttulo2"/>
        <w:numPr>
          <w:ilvl w:val="1"/>
          <w:numId w:val="13"/>
        </w:numPr>
        <w:tabs>
          <w:tab w:val="left" w:pos="567"/>
        </w:tabs>
        <w:spacing w:before="120" w:beforeAutospacing="0" w:after="240" w:afterAutospacing="0" w:line="360" w:lineRule="auto"/>
        <w:ind w:left="0" w:firstLine="0"/>
      </w:pPr>
      <w:bookmarkStart w:id="6" w:name="_Toc26001151"/>
      <w:r w:rsidRPr="001E1C47">
        <w:t>Níveis de normalização</w:t>
      </w:r>
      <w:bookmarkEnd w:id="6"/>
    </w:p>
    <w:p w14:paraId="560AF4B2" w14:textId="6B6D9469" w:rsidR="001E1C47" w:rsidRDefault="001E1C47" w:rsidP="00EA63CA">
      <w:pPr>
        <w:spacing w:before="120" w:after="240" w:line="360" w:lineRule="auto"/>
        <w:jc w:val="both"/>
        <w:rPr>
          <w:rFonts w:asciiTheme="majorHAnsi" w:hAnsiTheme="majorHAnsi" w:cstheme="majorHAnsi"/>
        </w:rPr>
      </w:pPr>
      <w:r w:rsidRPr="001E1C47">
        <w:rPr>
          <w:rFonts w:asciiTheme="majorHAnsi" w:hAnsiTheme="majorHAnsi" w:cstheme="majorHAnsi"/>
        </w:rPr>
        <w:t>A normalização pode ser desenvolvida nos níveis internacional, nacional, regional, de</w:t>
      </w:r>
      <w:r>
        <w:rPr>
          <w:rFonts w:asciiTheme="majorHAnsi" w:hAnsiTheme="majorHAnsi" w:cstheme="majorHAnsi"/>
        </w:rPr>
        <w:t xml:space="preserve"> </w:t>
      </w:r>
      <w:r w:rsidRPr="001E1C47">
        <w:rPr>
          <w:rFonts w:asciiTheme="majorHAnsi" w:hAnsiTheme="majorHAnsi" w:cstheme="majorHAnsi"/>
        </w:rPr>
        <w:t>associação e empresarial.</w:t>
      </w:r>
    </w:p>
    <w:p w14:paraId="35855336" w14:textId="473BBA40" w:rsidR="003D338C" w:rsidRPr="001E1C47" w:rsidRDefault="003D338C" w:rsidP="00EA63CA">
      <w:pPr>
        <w:spacing w:before="120" w:after="240" w:line="360" w:lineRule="auto"/>
        <w:jc w:val="both"/>
        <w:rPr>
          <w:rFonts w:asciiTheme="majorHAnsi" w:hAnsiTheme="majorHAnsi" w:cstheme="majorHAnsi"/>
        </w:rPr>
      </w:pPr>
      <w:r>
        <w:rPr>
          <w:rFonts w:asciiTheme="majorHAnsi" w:hAnsiTheme="majorHAnsi" w:cstheme="majorHAnsi"/>
        </w:rPr>
        <w:t>Observe a pirâmide para visualizar melhor os níveis.</w:t>
      </w:r>
    </w:p>
    <w:p w14:paraId="76D15AD3" w14:textId="77777777" w:rsidR="00611C61" w:rsidRDefault="00611C61" w:rsidP="00EA63CA">
      <w:pPr>
        <w:spacing w:before="120" w:after="240" w:line="360" w:lineRule="auto"/>
        <w:jc w:val="both"/>
        <w:rPr>
          <w:rFonts w:asciiTheme="majorHAnsi" w:hAnsiTheme="majorHAnsi" w:cstheme="majorHAnsi"/>
        </w:rPr>
      </w:pPr>
    </w:p>
    <w:p w14:paraId="2C92F2F9" w14:textId="112D3565" w:rsidR="001E1C47" w:rsidRDefault="007C5F5C" w:rsidP="00EA63CA">
      <w:pPr>
        <w:spacing w:before="120" w:after="240" w:line="360" w:lineRule="auto"/>
        <w:jc w:val="both"/>
        <w:rPr>
          <w:rFonts w:asciiTheme="majorHAnsi" w:hAnsiTheme="majorHAnsi" w:cstheme="majorHAnsi"/>
        </w:rPr>
      </w:pPr>
      <w:r>
        <w:rPr>
          <w:noProof/>
          <w:lang w:eastAsia="pt-BR"/>
        </w:rPr>
        <w:lastRenderedPageBreak/>
        <w:drawing>
          <wp:inline distT="0" distB="0" distL="0" distR="0" wp14:anchorId="63E10F07" wp14:editId="276B216A">
            <wp:extent cx="5579745" cy="4678921"/>
            <wp:effectExtent l="0" t="0" r="1905" b="7620"/>
            <wp:docPr id="16" name="Imagem 16" descr="http://entib.org.br/entib/imagens/FAML_M1_A04_1.2_PiramideNorma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tib.org.br/entib/imagens/FAML_M1_A04_1.2_PiramideNormaliz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745" cy="4678921"/>
                    </a:xfrm>
                    <a:prstGeom prst="rect">
                      <a:avLst/>
                    </a:prstGeom>
                    <a:noFill/>
                    <a:ln>
                      <a:noFill/>
                    </a:ln>
                  </pic:spPr>
                </pic:pic>
              </a:graphicData>
            </a:graphic>
          </wp:inline>
        </w:drawing>
      </w:r>
    </w:p>
    <w:p w14:paraId="12FAA5DD" w14:textId="77777777" w:rsidR="00E87F01" w:rsidRDefault="00E87F01" w:rsidP="00EA63CA">
      <w:pPr>
        <w:spacing w:before="120" w:after="240" w:line="360" w:lineRule="auto"/>
        <w:jc w:val="both"/>
        <w:rPr>
          <w:rFonts w:asciiTheme="majorHAnsi" w:hAnsiTheme="majorHAnsi" w:cstheme="majorHAnsi"/>
        </w:rPr>
      </w:pPr>
    </w:p>
    <w:p w14:paraId="02369B7C" w14:textId="37C362DE" w:rsidR="00E87F01" w:rsidRPr="00E87F01" w:rsidRDefault="00E87F01" w:rsidP="00EA63CA">
      <w:pPr>
        <w:spacing w:before="120" w:after="240" w:line="360" w:lineRule="auto"/>
        <w:jc w:val="both"/>
        <w:rPr>
          <w:rFonts w:asciiTheme="majorHAnsi" w:hAnsiTheme="majorHAnsi" w:cstheme="majorHAnsi"/>
        </w:rPr>
      </w:pPr>
      <w:r w:rsidRPr="00E87F01">
        <w:rPr>
          <w:rFonts w:asciiTheme="majorHAnsi" w:hAnsiTheme="majorHAnsi" w:cstheme="majorHAnsi"/>
        </w:rPr>
        <w:t>A normalização internacional se aplica a todos os países. As normas são criadas por organismos internacionais, cuja participação é aberta a</w:t>
      </w:r>
      <w:r w:rsidR="00812B7B">
        <w:rPr>
          <w:rFonts w:asciiTheme="majorHAnsi" w:hAnsiTheme="majorHAnsi" w:cstheme="majorHAnsi"/>
        </w:rPr>
        <w:t>os organismos nacionais de nor</w:t>
      </w:r>
      <w:r w:rsidRPr="00E87F01">
        <w:rPr>
          <w:rFonts w:asciiTheme="majorHAnsi" w:hAnsiTheme="majorHAnsi" w:cstheme="majorHAnsi"/>
        </w:rPr>
        <w:t xml:space="preserve">malização. Os principais organismos internacionais de normalização são: a </w:t>
      </w:r>
      <w:proofErr w:type="spellStart"/>
      <w:r w:rsidRPr="0082206E">
        <w:rPr>
          <w:rFonts w:asciiTheme="majorHAnsi" w:hAnsiTheme="majorHAnsi" w:cstheme="majorHAnsi"/>
          <w:i/>
        </w:rPr>
        <w:t>International</w:t>
      </w:r>
      <w:proofErr w:type="spellEnd"/>
      <w:r w:rsidRPr="0082206E">
        <w:rPr>
          <w:rFonts w:asciiTheme="majorHAnsi" w:hAnsiTheme="majorHAnsi" w:cstheme="majorHAnsi"/>
          <w:i/>
        </w:rPr>
        <w:t xml:space="preserve"> </w:t>
      </w:r>
      <w:proofErr w:type="spellStart"/>
      <w:r w:rsidRPr="0082206E">
        <w:rPr>
          <w:rFonts w:asciiTheme="majorHAnsi" w:hAnsiTheme="majorHAnsi" w:cstheme="majorHAnsi"/>
          <w:i/>
        </w:rPr>
        <w:t>Standardization</w:t>
      </w:r>
      <w:proofErr w:type="spellEnd"/>
      <w:r w:rsidRPr="0082206E">
        <w:rPr>
          <w:rFonts w:asciiTheme="majorHAnsi" w:hAnsiTheme="majorHAnsi" w:cstheme="majorHAnsi"/>
          <w:i/>
        </w:rPr>
        <w:t xml:space="preserve"> for </w:t>
      </w:r>
      <w:proofErr w:type="spellStart"/>
      <w:r w:rsidRPr="0082206E">
        <w:rPr>
          <w:rFonts w:asciiTheme="majorHAnsi" w:hAnsiTheme="majorHAnsi" w:cstheme="majorHAnsi"/>
          <w:i/>
        </w:rPr>
        <w:t>Organization</w:t>
      </w:r>
      <w:proofErr w:type="spellEnd"/>
      <w:r w:rsidRPr="00E87F01">
        <w:rPr>
          <w:rFonts w:asciiTheme="majorHAnsi" w:hAnsiTheme="majorHAnsi" w:cstheme="majorHAnsi"/>
        </w:rPr>
        <w:t xml:space="preserve"> (ISO), a </w:t>
      </w:r>
      <w:proofErr w:type="spellStart"/>
      <w:r w:rsidRPr="0082206E">
        <w:rPr>
          <w:rFonts w:asciiTheme="majorHAnsi" w:hAnsiTheme="majorHAnsi" w:cstheme="majorHAnsi"/>
          <w:i/>
        </w:rPr>
        <w:t>International</w:t>
      </w:r>
      <w:proofErr w:type="spellEnd"/>
      <w:r w:rsidRPr="0082206E">
        <w:rPr>
          <w:rFonts w:asciiTheme="majorHAnsi" w:hAnsiTheme="majorHAnsi" w:cstheme="majorHAnsi"/>
          <w:i/>
        </w:rPr>
        <w:t xml:space="preserve"> </w:t>
      </w:r>
      <w:proofErr w:type="spellStart"/>
      <w:r w:rsidRPr="0082206E">
        <w:rPr>
          <w:rFonts w:asciiTheme="majorHAnsi" w:hAnsiTheme="majorHAnsi" w:cstheme="majorHAnsi"/>
          <w:i/>
        </w:rPr>
        <w:t>Electrotechnical</w:t>
      </w:r>
      <w:proofErr w:type="spellEnd"/>
      <w:r w:rsidRPr="0082206E">
        <w:rPr>
          <w:rFonts w:asciiTheme="majorHAnsi" w:hAnsiTheme="majorHAnsi" w:cstheme="majorHAnsi"/>
          <w:i/>
        </w:rPr>
        <w:t xml:space="preserve"> </w:t>
      </w:r>
      <w:proofErr w:type="spellStart"/>
      <w:r w:rsidRPr="0082206E">
        <w:rPr>
          <w:rFonts w:asciiTheme="majorHAnsi" w:hAnsiTheme="majorHAnsi" w:cstheme="majorHAnsi"/>
          <w:i/>
        </w:rPr>
        <w:t>Commission</w:t>
      </w:r>
      <w:proofErr w:type="spellEnd"/>
      <w:r w:rsidRPr="0082206E">
        <w:rPr>
          <w:rFonts w:asciiTheme="majorHAnsi" w:hAnsiTheme="majorHAnsi" w:cstheme="majorHAnsi"/>
          <w:i/>
        </w:rPr>
        <w:t xml:space="preserve"> (IEC) e a </w:t>
      </w:r>
      <w:proofErr w:type="spellStart"/>
      <w:r w:rsidRPr="0082206E">
        <w:rPr>
          <w:rFonts w:asciiTheme="majorHAnsi" w:hAnsiTheme="majorHAnsi" w:cstheme="majorHAnsi"/>
          <w:i/>
        </w:rPr>
        <w:t>International</w:t>
      </w:r>
      <w:proofErr w:type="spellEnd"/>
      <w:r w:rsidRPr="0082206E">
        <w:rPr>
          <w:rFonts w:asciiTheme="majorHAnsi" w:hAnsiTheme="majorHAnsi" w:cstheme="majorHAnsi"/>
          <w:i/>
        </w:rPr>
        <w:t xml:space="preserve"> </w:t>
      </w:r>
      <w:proofErr w:type="spellStart"/>
      <w:r w:rsidRPr="0082206E">
        <w:rPr>
          <w:rFonts w:asciiTheme="majorHAnsi" w:hAnsiTheme="majorHAnsi" w:cstheme="majorHAnsi"/>
          <w:i/>
        </w:rPr>
        <w:t>Telecommunication</w:t>
      </w:r>
      <w:proofErr w:type="spellEnd"/>
      <w:r w:rsidRPr="0082206E">
        <w:rPr>
          <w:rFonts w:asciiTheme="majorHAnsi" w:hAnsiTheme="majorHAnsi" w:cstheme="majorHAnsi"/>
          <w:i/>
        </w:rPr>
        <w:t xml:space="preserve"> Union</w:t>
      </w:r>
      <w:r w:rsidR="0082206E">
        <w:rPr>
          <w:rFonts w:asciiTheme="majorHAnsi" w:hAnsiTheme="majorHAnsi" w:cstheme="majorHAnsi"/>
        </w:rPr>
        <w:t xml:space="preserve"> (ITU).</w:t>
      </w:r>
    </w:p>
    <w:p w14:paraId="725EE43D" w14:textId="75844E34" w:rsidR="00E87F01" w:rsidRPr="00E87F01" w:rsidRDefault="00E87F01" w:rsidP="00EA63CA">
      <w:pPr>
        <w:spacing w:before="120" w:after="240" w:line="360" w:lineRule="auto"/>
        <w:jc w:val="both"/>
        <w:rPr>
          <w:rFonts w:asciiTheme="majorHAnsi" w:hAnsiTheme="majorHAnsi" w:cstheme="majorHAnsi"/>
        </w:rPr>
      </w:pPr>
      <w:r w:rsidRPr="00E87F01">
        <w:rPr>
          <w:rFonts w:asciiTheme="majorHAnsi" w:hAnsiTheme="majorHAnsi" w:cstheme="majorHAnsi"/>
        </w:rPr>
        <w:t xml:space="preserve">A atividade de normalização nacional é aquela que </w:t>
      </w:r>
      <w:r>
        <w:rPr>
          <w:rFonts w:asciiTheme="majorHAnsi" w:hAnsiTheme="majorHAnsi" w:cstheme="majorHAnsi"/>
        </w:rPr>
        <w:t xml:space="preserve">ocorre no âmbito das fronteiras </w:t>
      </w:r>
      <w:r w:rsidRPr="00E87F01">
        <w:rPr>
          <w:rFonts w:asciiTheme="majorHAnsi" w:hAnsiTheme="majorHAnsi" w:cstheme="majorHAnsi"/>
        </w:rPr>
        <w:t>de um país. As normas nacionais são editadas, após a verificação do consenso entre</w:t>
      </w:r>
      <w:r>
        <w:rPr>
          <w:rFonts w:asciiTheme="majorHAnsi" w:hAnsiTheme="majorHAnsi" w:cstheme="majorHAnsi"/>
        </w:rPr>
        <w:t xml:space="preserve"> </w:t>
      </w:r>
      <w:r w:rsidRPr="00E87F01">
        <w:rPr>
          <w:rFonts w:asciiTheme="majorHAnsi" w:hAnsiTheme="majorHAnsi" w:cstheme="majorHAnsi"/>
        </w:rPr>
        <w:t>as partes interessadas de um país, por uma organização nacional de normalização. No caso do Brasil, esta organização é a Associação Brasileira de Normas Técnicas (ABNT), reconhecida como Fórum Nacional de Normalização por meio d</w:t>
      </w:r>
      <w:r w:rsidR="0082206E">
        <w:rPr>
          <w:rFonts w:asciiTheme="majorHAnsi" w:hAnsiTheme="majorHAnsi" w:cstheme="majorHAnsi"/>
        </w:rPr>
        <w:t>a Resolução Conmetro nº 7/1992.</w:t>
      </w:r>
    </w:p>
    <w:p w14:paraId="149163A9" w14:textId="59BC9B6B" w:rsidR="00E87F01" w:rsidRPr="00E87F01" w:rsidRDefault="00E87F01" w:rsidP="00EA63CA">
      <w:pPr>
        <w:spacing w:before="120" w:after="240" w:line="360" w:lineRule="auto"/>
        <w:jc w:val="both"/>
        <w:rPr>
          <w:rFonts w:asciiTheme="majorHAnsi" w:hAnsiTheme="majorHAnsi" w:cstheme="majorHAnsi"/>
        </w:rPr>
      </w:pPr>
      <w:r w:rsidRPr="00E87F01">
        <w:rPr>
          <w:rFonts w:asciiTheme="majorHAnsi" w:hAnsiTheme="majorHAnsi" w:cstheme="majorHAnsi"/>
        </w:rPr>
        <w:t>A normalização regional está relacionada a uma única região geográfica, econômica ou política. São exemplos de fóruns regionais de normalização: a Associação Mercosul de Normalização</w:t>
      </w:r>
      <w:r w:rsidR="007C5F5C">
        <w:rPr>
          <w:rFonts w:asciiTheme="majorHAnsi" w:hAnsiTheme="majorHAnsi" w:cstheme="majorHAnsi"/>
        </w:rPr>
        <w:t>*</w:t>
      </w:r>
      <w:r w:rsidRPr="00E87F01">
        <w:rPr>
          <w:rFonts w:asciiTheme="majorHAnsi" w:hAnsiTheme="majorHAnsi" w:cstheme="majorHAnsi"/>
        </w:rPr>
        <w:t xml:space="preserve"> (AMN), o </w:t>
      </w:r>
      <w:r w:rsidRPr="0082206E">
        <w:rPr>
          <w:rFonts w:asciiTheme="majorHAnsi" w:hAnsiTheme="majorHAnsi" w:cstheme="majorHAnsi"/>
          <w:i/>
        </w:rPr>
        <w:t xml:space="preserve">Comité </w:t>
      </w:r>
      <w:proofErr w:type="spellStart"/>
      <w:r w:rsidRPr="0082206E">
        <w:rPr>
          <w:rFonts w:asciiTheme="majorHAnsi" w:hAnsiTheme="majorHAnsi" w:cstheme="majorHAnsi"/>
          <w:i/>
        </w:rPr>
        <w:t>Européen</w:t>
      </w:r>
      <w:proofErr w:type="spellEnd"/>
      <w:r w:rsidRPr="0082206E">
        <w:rPr>
          <w:rFonts w:asciiTheme="majorHAnsi" w:hAnsiTheme="majorHAnsi" w:cstheme="majorHAnsi"/>
          <w:i/>
        </w:rPr>
        <w:t xml:space="preserve"> de </w:t>
      </w:r>
      <w:proofErr w:type="spellStart"/>
      <w:r w:rsidRPr="0082206E">
        <w:rPr>
          <w:rFonts w:asciiTheme="majorHAnsi" w:hAnsiTheme="majorHAnsi" w:cstheme="majorHAnsi"/>
          <w:i/>
        </w:rPr>
        <w:t>Normalisation</w:t>
      </w:r>
      <w:proofErr w:type="spellEnd"/>
      <w:r>
        <w:rPr>
          <w:rFonts w:asciiTheme="majorHAnsi" w:hAnsiTheme="majorHAnsi" w:cstheme="majorHAnsi"/>
        </w:rPr>
        <w:t xml:space="preserve"> (CEN) e a Comissão Pan</w:t>
      </w:r>
      <w:r w:rsidRPr="00E87F01">
        <w:rPr>
          <w:rFonts w:asciiTheme="majorHAnsi" w:hAnsiTheme="majorHAnsi" w:cstheme="majorHAnsi"/>
        </w:rPr>
        <w:t>-America</w:t>
      </w:r>
      <w:r w:rsidR="0082206E">
        <w:rPr>
          <w:rFonts w:asciiTheme="majorHAnsi" w:hAnsiTheme="majorHAnsi" w:cstheme="majorHAnsi"/>
        </w:rPr>
        <w:t>na de Normas Técnicas (</w:t>
      </w:r>
      <w:proofErr w:type="spellStart"/>
      <w:r w:rsidR="0082206E">
        <w:rPr>
          <w:rFonts w:asciiTheme="majorHAnsi" w:hAnsiTheme="majorHAnsi" w:cstheme="majorHAnsi"/>
        </w:rPr>
        <w:t>Copant</w:t>
      </w:r>
      <w:proofErr w:type="spellEnd"/>
      <w:r w:rsidR="0082206E">
        <w:rPr>
          <w:rFonts w:asciiTheme="majorHAnsi" w:hAnsiTheme="majorHAnsi" w:cstheme="majorHAnsi"/>
        </w:rPr>
        <w:t>).</w:t>
      </w:r>
    </w:p>
    <w:p w14:paraId="1A740AA7" w14:textId="49C8790F" w:rsidR="00E37DDB" w:rsidRDefault="00E87F01" w:rsidP="00EA63CA">
      <w:pPr>
        <w:spacing w:before="120" w:after="240" w:line="360" w:lineRule="auto"/>
        <w:jc w:val="both"/>
        <w:rPr>
          <w:rFonts w:asciiTheme="majorHAnsi" w:hAnsiTheme="majorHAnsi" w:cstheme="majorHAnsi"/>
        </w:rPr>
      </w:pPr>
      <w:r w:rsidRPr="00E87F01">
        <w:rPr>
          <w:rFonts w:asciiTheme="majorHAnsi" w:hAnsiTheme="majorHAnsi" w:cstheme="majorHAnsi"/>
        </w:rPr>
        <w:lastRenderedPageBreak/>
        <w:t xml:space="preserve">As normas de associação, ou setoriais, são publicadas para uso de seus associados ou para uso generalizado. São exemplos de associações setoriais que produzem normas a </w:t>
      </w:r>
      <w:r w:rsidRPr="0082206E">
        <w:rPr>
          <w:rFonts w:asciiTheme="majorHAnsi" w:hAnsiTheme="majorHAnsi" w:cstheme="majorHAnsi"/>
          <w:i/>
        </w:rPr>
        <w:t xml:space="preserve">American </w:t>
      </w:r>
      <w:proofErr w:type="spellStart"/>
      <w:r w:rsidRPr="0082206E">
        <w:rPr>
          <w:rFonts w:asciiTheme="majorHAnsi" w:hAnsiTheme="majorHAnsi" w:cstheme="majorHAnsi"/>
          <w:i/>
        </w:rPr>
        <w:t>Society</w:t>
      </w:r>
      <w:proofErr w:type="spellEnd"/>
      <w:r w:rsidRPr="0082206E">
        <w:rPr>
          <w:rFonts w:asciiTheme="majorHAnsi" w:hAnsiTheme="majorHAnsi" w:cstheme="majorHAnsi"/>
          <w:i/>
        </w:rPr>
        <w:t xml:space="preserve"> for </w:t>
      </w:r>
      <w:proofErr w:type="spellStart"/>
      <w:r w:rsidRPr="0082206E">
        <w:rPr>
          <w:rFonts w:asciiTheme="majorHAnsi" w:hAnsiTheme="majorHAnsi" w:cstheme="majorHAnsi"/>
          <w:i/>
        </w:rPr>
        <w:t>Testing</w:t>
      </w:r>
      <w:proofErr w:type="spellEnd"/>
      <w:r w:rsidRPr="0082206E">
        <w:rPr>
          <w:rFonts w:asciiTheme="majorHAnsi" w:hAnsiTheme="majorHAnsi" w:cstheme="majorHAnsi"/>
          <w:i/>
        </w:rPr>
        <w:t xml:space="preserve"> </w:t>
      </w:r>
      <w:proofErr w:type="spellStart"/>
      <w:r w:rsidRPr="0082206E">
        <w:rPr>
          <w:rFonts w:asciiTheme="majorHAnsi" w:hAnsiTheme="majorHAnsi" w:cstheme="majorHAnsi"/>
          <w:i/>
        </w:rPr>
        <w:t>and</w:t>
      </w:r>
      <w:proofErr w:type="spellEnd"/>
      <w:r w:rsidRPr="0082206E">
        <w:rPr>
          <w:rFonts w:asciiTheme="majorHAnsi" w:hAnsiTheme="majorHAnsi" w:cstheme="majorHAnsi"/>
          <w:i/>
        </w:rPr>
        <w:t xml:space="preserve"> </w:t>
      </w:r>
      <w:proofErr w:type="spellStart"/>
      <w:r w:rsidRPr="0082206E">
        <w:rPr>
          <w:rFonts w:asciiTheme="majorHAnsi" w:hAnsiTheme="majorHAnsi" w:cstheme="majorHAnsi"/>
          <w:i/>
        </w:rPr>
        <w:t>Materials</w:t>
      </w:r>
      <w:proofErr w:type="spellEnd"/>
      <w:r w:rsidRPr="00E87F01">
        <w:rPr>
          <w:rFonts w:asciiTheme="majorHAnsi" w:hAnsiTheme="majorHAnsi" w:cstheme="majorHAnsi"/>
        </w:rPr>
        <w:t xml:space="preserve"> (ASTM) e a </w:t>
      </w:r>
      <w:r w:rsidRPr="0082206E">
        <w:rPr>
          <w:rFonts w:asciiTheme="majorHAnsi" w:hAnsiTheme="majorHAnsi" w:cstheme="majorHAnsi"/>
          <w:i/>
        </w:rPr>
        <w:t xml:space="preserve">American </w:t>
      </w:r>
      <w:proofErr w:type="spellStart"/>
      <w:r w:rsidRPr="0082206E">
        <w:rPr>
          <w:rFonts w:asciiTheme="majorHAnsi" w:hAnsiTheme="majorHAnsi" w:cstheme="majorHAnsi"/>
          <w:i/>
        </w:rPr>
        <w:t>Society</w:t>
      </w:r>
      <w:proofErr w:type="spellEnd"/>
      <w:r w:rsidRPr="0082206E">
        <w:rPr>
          <w:rFonts w:asciiTheme="majorHAnsi" w:hAnsiTheme="majorHAnsi" w:cstheme="majorHAnsi"/>
          <w:i/>
        </w:rPr>
        <w:t xml:space="preserve"> for </w:t>
      </w:r>
      <w:proofErr w:type="spellStart"/>
      <w:r w:rsidRPr="0082206E">
        <w:rPr>
          <w:rFonts w:asciiTheme="majorHAnsi" w:hAnsiTheme="majorHAnsi" w:cstheme="majorHAnsi"/>
          <w:i/>
        </w:rPr>
        <w:t>Mechanical</w:t>
      </w:r>
      <w:proofErr w:type="spellEnd"/>
      <w:r w:rsidRPr="0082206E">
        <w:rPr>
          <w:rFonts w:asciiTheme="majorHAnsi" w:hAnsiTheme="majorHAnsi" w:cstheme="majorHAnsi"/>
          <w:i/>
        </w:rPr>
        <w:t xml:space="preserve"> </w:t>
      </w:r>
      <w:proofErr w:type="spellStart"/>
      <w:r w:rsidRPr="0082206E">
        <w:rPr>
          <w:rFonts w:asciiTheme="majorHAnsi" w:hAnsiTheme="majorHAnsi" w:cstheme="majorHAnsi"/>
          <w:i/>
        </w:rPr>
        <w:t>Engineers</w:t>
      </w:r>
      <w:proofErr w:type="spellEnd"/>
      <w:r w:rsidRPr="0082206E">
        <w:rPr>
          <w:rFonts w:asciiTheme="majorHAnsi" w:hAnsiTheme="majorHAnsi" w:cstheme="majorHAnsi"/>
          <w:i/>
        </w:rPr>
        <w:t xml:space="preserve"> (</w:t>
      </w:r>
      <w:proofErr w:type="spellStart"/>
      <w:r w:rsidRPr="0082206E">
        <w:rPr>
          <w:rFonts w:asciiTheme="majorHAnsi" w:hAnsiTheme="majorHAnsi" w:cstheme="majorHAnsi"/>
          <w:i/>
        </w:rPr>
        <w:t>Asme</w:t>
      </w:r>
      <w:proofErr w:type="spellEnd"/>
      <w:r w:rsidRPr="0082206E">
        <w:rPr>
          <w:rFonts w:asciiTheme="majorHAnsi" w:hAnsiTheme="majorHAnsi" w:cstheme="majorHAnsi"/>
          <w:i/>
        </w:rPr>
        <w:t>)</w:t>
      </w:r>
      <w:r w:rsidRPr="00E87F01">
        <w:rPr>
          <w:rFonts w:asciiTheme="majorHAnsi" w:hAnsiTheme="majorHAnsi" w:cstheme="majorHAnsi"/>
        </w:rPr>
        <w:t>.</w:t>
      </w:r>
    </w:p>
    <w:p w14:paraId="15DC6E9F" w14:textId="208BB748" w:rsidR="007C5F5C" w:rsidRPr="007C5F5C" w:rsidRDefault="007C5F5C" w:rsidP="007C5F5C">
      <w:pPr>
        <w:pStyle w:val="Textodecomentrio"/>
        <w:ind w:left="2124"/>
        <w:rPr>
          <w:i/>
          <w:color w:val="0066B2"/>
        </w:rPr>
      </w:pPr>
      <w:r>
        <w:rPr>
          <w:i/>
          <w:color w:val="0066B2"/>
        </w:rPr>
        <w:t>*</w:t>
      </w:r>
      <w:r w:rsidRPr="007C5F5C">
        <w:rPr>
          <w:i/>
          <w:color w:val="0066B2"/>
        </w:rPr>
        <w:t>A Associação Mercosul de Normalização – AMN é único organismo responsável pela gestão da normalização voluntária no âmbito do Mercosul.</w:t>
      </w:r>
    </w:p>
    <w:p w14:paraId="33A32C04" w14:textId="061316A6" w:rsidR="007C5F5C" w:rsidRDefault="007C5F5C" w:rsidP="00EA63CA">
      <w:pPr>
        <w:spacing w:before="120" w:after="240" w:line="360" w:lineRule="auto"/>
        <w:jc w:val="both"/>
        <w:rPr>
          <w:rFonts w:asciiTheme="majorHAnsi" w:hAnsiTheme="majorHAnsi" w:cstheme="majorHAnsi"/>
        </w:rPr>
      </w:pPr>
    </w:p>
    <w:p w14:paraId="05CB5D36" w14:textId="66E1E24E" w:rsidR="00E37DDB" w:rsidRPr="00E37DDB"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t>As normas no nível empresarial são elaboradas po</w:t>
      </w:r>
      <w:r w:rsidR="00AE72E9">
        <w:rPr>
          <w:rFonts w:asciiTheme="majorHAnsi" w:hAnsiTheme="majorHAnsi" w:cstheme="majorHAnsi"/>
        </w:rPr>
        <w:t>r uma empresa ou grupo de empre</w:t>
      </w:r>
      <w:r w:rsidRPr="00E37DDB">
        <w:rPr>
          <w:rFonts w:asciiTheme="majorHAnsi" w:hAnsiTheme="majorHAnsi" w:cstheme="majorHAnsi"/>
        </w:rPr>
        <w:t>sas preparadas para atender às necessidades internas na realização de algum produto, processo ou serviço. São exemplos de normas técnicas de empresas aquelas publicadas pela Petrobras (No</w:t>
      </w:r>
      <w:r w:rsidR="0082206E">
        <w:rPr>
          <w:rFonts w:asciiTheme="majorHAnsi" w:hAnsiTheme="majorHAnsi" w:cstheme="majorHAnsi"/>
        </w:rPr>
        <w:t>rmas Técnicas Petrobras – NTP).</w:t>
      </w:r>
    </w:p>
    <w:p w14:paraId="0FFB24E2" w14:textId="2E852177" w:rsidR="00E37DDB" w:rsidRPr="00E37DDB"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t>Apesar desses níveis de abrangência, as normas são de caráter voluntário, podendo ou</w:t>
      </w:r>
      <w:r w:rsidR="0082206E">
        <w:rPr>
          <w:rFonts w:asciiTheme="majorHAnsi" w:hAnsiTheme="majorHAnsi" w:cstheme="majorHAnsi"/>
        </w:rPr>
        <w:t xml:space="preserve"> </w:t>
      </w:r>
      <w:r>
        <w:rPr>
          <w:rFonts w:asciiTheme="majorHAnsi" w:hAnsiTheme="majorHAnsi" w:cstheme="majorHAnsi"/>
        </w:rPr>
        <w:t>não ser adotadas.</w:t>
      </w:r>
    </w:p>
    <w:p w14:paraId="37680427" w14:textId="7F2B72B1" w:rsidR="00E37DDB" w:rsidRPr="00E37DDB"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t>A partir da pirâmide de níveis de normalização,</w:t>
      </w:r>
      <w:r w:rsidR="00D07BA2">
        <w:rPr>
          <w:rFonts w:asciiTheme="majorHAnsi" w:hAnsiTheme="majorHAnsi" w:cstheme="majorHAnsi"/>
        </w:rPr>
        <w:t xml:space="preserve"> que apresentamos acima, </w:t>
      </w:r>
      <w:r w:rsidRPr="00E37DDB">
        <w:rPr>
          <w:rFonts w:asciiTheme="majorHAnsi" w:hAnsiTheme="majorHAnsi" w:cstheme="majorHAnsi"/>
        </w:rPr>
        <w:t xml:space="preserve">conclui-se que, quanto mais alto na escala piramidal for o nível de normalização, mais </w:t>
      </w:r>
      <w:r w:rsidR="00D07BA2">
        <w:rPr>
          <w:rFonts w:asciiTheme="majorHAnsi" w:hAnsiTheme="majorHAnsi" w:cstheme="majorHAnsi"/>
        </w:rPr>
        <w:t>abrangentes</w:t>
      </w:r>
      <w:r w:rsidRPr="00E37DDB">
        <w:rPr>
          <w:rFonts w:asciiTheme="majorHAnsi" w:hAnsiTheme="majorHAnsi" w:cstheme="majorHAnsi"/>
        </w:rPr>
        <w:t xml:space="preserve"> serão as normas e, quanto mais próximo da base piramidal, mais restritivas ou rigorosas as normas serão. Isso significa que uma norma aplicada ao nível da empresa será sempre mais rigorosa que a norma internacional, que necessita ser menos restritiva para possibilitar que países com diferentes realidades econômicas e</w:t>
      </w:r>
      <w:r w:rsidR="0082206E">
        <w:rPr>
          <w:rFonts w:asciiTheme="majorHAnsi" w:hAnsiTheme="majorHAnsi" w:cstheme="majorHAnsi"/>
        </w:rPr>
        <w:t xml:space="preserve"> tecnológicas possam cumpri-la.</w:t>
      </w:r>
    </w:p>
    <w:p w14:paraId="2C741DB1" w14:textId="1ABE1794" w:rsidR="00E37DDB" w:rsidRPr="0082206E" w:rsidRDefault="007C5F5C" w:rsidP="001F4EDA">
      <w:pPr>
        <w:pStyle w:val="Ttulo2"/>
        <w:numPr>
          <w:ilvl w:val="1"/>
          <w:numId w:val="13"/>
        </w:numPr>
        <w:tabs>
          <w:tab w:val="left" w:pos="567"/>
        </w:tabs>
        <w:spacing w:before="120" w:beforeAutospacing="0" w:after="240" w:afterAutospacing="0" w:line="360" w:lineRule="auto"/>
        <w:ind w:left="0" w:firstLine="0"/>
      </w:pPr>
      <w:bookmarkStart w:id="7" w:name="_Toc26001152"/>
      <w:r>
        <w:rPr>
          <w:noProof/>
          <w:lang w:eastAsia="pt-BR"/>
        </w:rPr>
        <w:drawing>
          <wp:anchor distT="0" distB="0" distL="114300" distR="114300" simplePos="0" relativeHeight="251665920" behindDoc="0" locked="0" layoutInCell="1" allowOverlap="1" wp14:anchorId="2645DFD3" wp14:editId="1A96CF53">
            <wp:simplePos x="0" y="0"/>
            <wp:positionH relativeFrom="column">
              <wp:posOffset>-67945</wp:posOffset>
            </wp:positionH>
            <wp:positionV relativeFrom="paragraph">
              <wp:posOffset>488315</wp:posOffset>
            </wp:positionV>
            <wp:extent cx="2827655" cy="1882775"/>
            <wp:effectExtent l="0" t="0" r="0" b="3175"/>
            <wp:wrapSquare wrapText="bothSides"/>
            <wp:docPr id="17" name="Imagem 17" descr="https://entib.org.br/entib/imagens/FAML_M1_A04_1.3_Normaliza_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tib.org.br/entib/imagens/FAML_M1_A04_1.3_Normaliza_B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7655"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DDB" w:rsidRPr="0082206E">
        <w:t>Sistema Brasileiro de Normalização (SBN)</w:t>
      </w:r>
      <w:bookmarkEnd w:id="7"/>
    </w:p>
    <w:p w14:paraId="7B022AD6" w14:textId="5A58C659" w:rsidR="00E37DDB"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t>O Sistema Brasileiro de Normalização (SBN) é um subsistema do Sistema Nacional de Metrologia, Normalização e Qualidade Industrial (Sinme</w:t>
      </w:r>
      <w:r w:rsidR="00812B7B">
        <w:rPr>
          <w:rFonts w:asciiTheme="majorHAnsi" w:hAnsiTheme="majorHAnsi" w:cstheme="majorHAnsi"/>
        </w:rPr>
        <w:t>tro), que reúne as partes inte</w:t>
      </w:r>
      <w:r w:rsidRPr="00E37DDB">
        <w:rPr>
          <w:rFonts w:asciiTheme="majorHAnsi" w:hAnsiTheme="majorHAnsi" w:cstheme="majorHAnsi"/>
        </w:rPr>
        <w:t>ressadas na atividade de normalização. São integrantes</w:t>
      </w:r>
      <w:r w:rsidR="00812B7B">
        <w:rPr>
          <w:rFonts w:asciiTheme="majorHAnsi" w:hAnsiTheme="majorHAnsi" w:cstheme="majorHAnsi"/>
        </w:rPr>
        <w:t xml:space="preserve"> do SBN o Foro Nacional de Nor</w:t>
      </w:r>
      <w:r w:rsidRPr="00E37DDB">
        <w:rPr>
          <w:rFonts w:asciiTheme="majorHAnsi" w:hAnsiTheme="majorHAnsi" w:cstheme="majorHAnsi"/>
        </w:rPr>
        <w:t>malização, os Organismos de Normalização Setorial (ONS), as entidades governamentais com autoridade de regulamentação técnica e o Comitê Brasileiro de Normalização (CBN).</w:t>
      </w:r>
    </w:p>
    <w:p w14:paraId="58FE95C7" w14:textId="77777777" w:rsidR="007C5F5C" w:rsidRDefault="007C5F5C" w:rsidP="00EA63CA">
      <w:pPr>
        <w:spacing w:before="120" w:after="240" w:line="360" w:lineRule="auto"/>
        <w:jc w:val="both"/>
        <w:rPr>
          <w:rFonts w:asciiTheme="majorHAnsi" w:hAnsiTheme="majorHAnsi" w:cstheme="majorHAnsi"/>
        </w:rPr>
      </w:pPr>
    </w:p>
    <w:p w14:paraId="5EB8BB86" w14:textId="77777777" w:rsidR="0082206E" w:rsidRDefault="0082206E" w:rsidP="00EA63CA">
      <w:pPr>
        <w:spacing w:before="120" w:after="240" w:line="360" w:lineRule="auto"/>
        <w:jc w:val="both"/>
        <w:rPr>
          <w:rFonts w:asciiTheme="majorHAnsi" w:hAnsiTheme="majorHAnsi" w:cstheme="majorHAnsi"/>
        </w:rPr>
      </w:pPr>
    </w:p>
    <w:p w14:paraId="68AC80FF" w14:textId="56CA099D" w:rsidR="007C5F5C" w:rsidRPr="00E37DDB" w:rsidRDefault="00E37DDB" w:rsidP="007C5F5C">
      <w:pPr>
        <w:pStyle w:val="Ttulo2"/>
        <w:numPr>
          <w:ilvl w:val="1"/>
          <w:numId w:val="13"/>
        </w:numPr>
        <w:tabs>
          <w:tab w:val="left" w:pos="567"/>
        </w:tabs>
        <w:spacing w:before="120" w:beforeAutospacing="0" w:after="240" w:afterAutospacing="0" w:line="360" w:lineRule="auto"/>
        <w:ind w:left="0" w:firstLine="0"/>
      </w:pPr>
      <w:bookmarkStart w:id="8" w:name="_Toc26001153"/>
      <w:r w:rsidRPr="00E37DDB">
        <w:lastRenderedPageBreak/>
        <w:t>Associação Brasileira de Normas Técnicas (ABNT)</w:t>
      </w:r>
      <w:bookmarkEnd w:id="8"/>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6457"/>
      </w:tblGrid>
      <w:tr w:rsidR="007C5F5C" w14:paraId="24F9D7F8" w14:textId="77777777" w:rsidTr="007C5F5C">
        <w:tc>
          <w:tcPr>
            <w:tcW w:w="3036" w:type="dxa"/>
            <w:vAlign w:val="center"/>
          </w:tcPr>
          <w:p w14:paraId="1E6717BA" w14:textId="0064833C" w:rsidR="007C5F5C" w:rsidRDefault="007C5F5C" w:rsidP="007C5F5C">
            <w:pPr>
              <w:spacing w:before="120" w:after="240" w:line="360" w:lineRule="auto"/>
              <w:rPr>
                <w:rFonts w:asciiTheme="majorHAnsi" w:hAnsiTheme="majorHAnsi" w:cstheme="majorHAnsi"/>
              </w:rPr>
            </w:pPr>
            <w:r>
              <w:rPr>
                <w:noProof/>
                <w:lang w:eastAsia="pt-BR"/>
              </w:rPr>
              <w:drawing>
                <wp:anchor distT="0" distB="0" distL="114300" distR="114300" simplePos="0" relativeHeight="251666944" behindDoc="1" locked="0" layoutInCell="1" allowOverlap="1" wp14:anchorId="2BA6BCC4" wp14:editId="21E537EA">
                  <wp:simplePos x="0" y="0"/>
                  <wp:positionH relativeFrom="column">
                    <wp:posOffset>-2540</wp:posOffset>
                  </wp:positionH>
                  <wp:positionV relativeFrom="paragraph">
                    <wp:posOffset>-5080</wp:posOffset>
                  </wp:positionV>
                  <wp:extent cx="1991995" cy="1991995"/>
                  <wp:effectExtent l="0" t="0" r="8255" b="825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91995" cy="1991995"/>
                          </a:xfrm>
                          <a:prstGeom prst="rect">
                            <a:avLst/>
                          </a:prstGeom>
                        </pic:spPr>
                      </pic:pic>
                    </a:graphicData>
                  </a:graphic>
                  <wp14:sizeRelH relativeFrom="page">
                    <wp14:pctWidth>0</wp14:pctWidth>
                  </wp14:sizeRelH>
                  <wp14:sizeRelV relativeFrom="page">
                    <wp14:pctHeight>0</wp14:pctHeight>
                  </wp14:sizeRelV>
                </wp:anchor>
              </w:drawing>
            </w:r>
          </w:p>
        </w:tc>
        <w:tc>
          <w:tcPr>
            <w:tcW w:w="6457" w:type="dxa"/>
            <w:vAlign w:val="center"/>
          </w:tcPr>
          <w:p w14:paraId="7405FE4D" w14:textId="0394D964" w:rsidR="007C5F5C" w:rsidRDefault="007C5F5C" w:rsidP="007C5F5C">
            <w:pPr>
              <w:spacing w:before="120" w:after="240" w:line="360" w:lineRule="auto"/>
              <w:jc w:val="both"/>
              <w:rPr>
                <w:rFonts w:asciiTheme="majorHAnsi" w:hAnsiTheme="majorHAnsi" w:cstheme="majorHAnsi"/>
              </w:rPr>
            </w:pPr>
            <w:r w:rsidRPr="00E37DDB">
              <w:rPr>
                <w:rFonts w:asciiTheme="majorHAnsi" w:hAnsiTheme="majorHAnsi" w:cstheme="majorHAnsi"/>
              </w:rPr>
              <w:t>Fundada em 1940 com a finalidade de prover a sociedade de normas técnicas para substanciar o desenvolvimento tecnológico e econômico bras</w:t>
            </w:r>
            <w:r>
              <w:rPr>
                <w:rFonts w:asciiTheme="majorHAnsi" w:hAnsiTheme="majorHAnsi" w:cstheme="majorHAnsi"/>
              </w:rPr>
              <w:t>ileiro, a Associação Brasi</w:t>
            </w:r>
            <w:r w:rsidRPr="00E37DDB">
              <w:rPr>
                <w:rFonts w:asciiTheme="majorHAnsi" w:hAnsiTheme="majorHAnsi" w:cstheme="majorHAnsi"/>
              </w:rPr>
              <w:t xml:space="preserve">leira de Normas Técnicas (ABNT) é uma entidade privada, sem fins lucrativos, que se firmou como o único Foro Nacional de Normalização, através da Resolução nº 7 do Conmetro, de 24 de agosto de 1992. A ABNT é a única e exclusiva </w:t>
            </w:r>
            <w:r>
              <w:rPr>
                <w:rFonts w:asciiTheme="majorHAnsi" w:hAnsiTheme="majorHAnsi" w:cstheme="majorHAnsi"/>
              </w:rPr>
              <w:t xml:space="preserve">representante do </w:t>
            </w:r>
            <w:r w:rsidRPr="00E37DDB">
              <w:rPr>
                <w:rFonts w:asciiTheme="majorHAnsi" w:hAnsiTheme="majorHAnsi" w:cstheme="majorHAnsi"/>
              </w:rPr>
              <w:t>Brasil nos fóruns internacionais de normalização (ISO,</w:t>
            </w:r>
            <w:r>
              <w:rPr>
                <w:rFonts w:asciiTheme="majorHAnsi" w:hAnsiTheme="majorHAnsi" w:cstheme="majorHAnsi"/>
              </w:rPr>
              <w:t xml:space="preserve"> IEC e ITU) e regionais das Amé</w:t>
            </w:r>
            <w:r w:rsidRPr="00E37DDB">
              <w:rPr>
                <w:rFonts w:asciiTheme="majorHAnsi" w:hAnsiTheme="majorHAnsi" w:cstheme="majorHAnsi"/>
              </w:rPr>
              <w:t>ricas (</w:t>
            </w:r>
            <w:proofErr w:type="spellStart"/>
            <w:r w:rsidRPr="00E37DDB">
              <w:rPr>
                <w:rFonts w:asciiTheme="majorHAnsi" w:hAnsiTheme="majorHAnsi" w:cstheme="majorHAnsi"/>
              </w:rPr>
              <w:t>Copant</w:t>
            </w:r>
            <w:proofErr w:type="spellEnd"/>
            <w:r w:rsidRPr="00E37DDB">
              <w:rPr>
                <w:rFonts w:asciiTheme="majorHAnsi" w:hAnsiTheme="majorHAnsi" w:cstheme="majorHAnsi"/>
              </w:rPr>
              <w:t xml:space="preserve"> e AMN).</w:t>
            </w:r>
          </w:p>
        </w:tc>
      </w:tr>
    </w:tbl>
    <w:p w14:paraId="005A9E5E" w14:textId="77777777" w:rsidR="00E37DDB" w:rsidRPr="00E37DDB" w:rsidRDefault="00E37DDB" w:rsidP="001F4EDA">
      <w:pPr>
        <w:pStyle w:val="Ttulo2"/>
        <w:numPr>
          <w:ilvl w:val="1"/>
          <w:numId w:val="13"/>
        </w:numPr>
        <w:tabs>
          <w:tab w:val="left" w:pos="567"/>
        </w:tabs>
        <w:spacing w:before="120" w:beforeAutospacing="0" w:after="240" w:afterAutospacing="0" w:line="360" w:lineRule="auto"/>
        <w:ind w:left="0" w:firstLine="0"/>
      </w:pPr>
      <w:bookmarkStart w:id="9" w:name="_Toc26001154"/>
      <w:r w:rsidRPr="00E37DDB">
        <w:t>Organismo de Normalização Setorial (ONS)</w:t>
      </w:r>
      <w:bookmarkEnd w:id="9"/>
    </w:p>
    <w:p w14:paraId="2F7A395E" w14:textId="2F08C9A4" w:rsidR="00E37DDB"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t>O</w:t>
      </w:r>
      <w:r w:rsidR="00260896">
        <w:rPr>
          <w:rFonts w:asciiTheme="majorHAnsi" w:hAnsiTheme="majorHAnsi" w:cstheme="majorHAnsi"/>
        </w:rPr>
        <w:t>s</w:t>
      </w:r>
      <w:r w:rsidRPr="00E37DDB">
        <w:rPr>
          <w:rFonts w:asciiTheme="majorHAnsi" w:hAnsiTheme="majorHAnsi" w:cstheme="majorHAnsi"/>
        </w:rPr>
        <w:t xml:space="preserve"> Organismo</w:t>
      </w:r>
      <w:r w:rsidR="00260896">
        <w:rPr>
          <w:rFonts w:asciiTheme="majorHAnsi" w:hAnsiTheme="majorHAnsi" w:cstheme="majorHAnsi"/>
        </w:rPr>
        <w:t>s</w:t>
      </w:r>
      <w:r w:rsidRPr="00E37DDB">
        <w:rPr>
          <w:rFonts w:asciiTheme="majorHAnsi" w:hAnsiTheme="majorHAnsi" w:cstheme="majorHAnsi"/>
        </w:rPr>
        <w:t xml:space="preserve"> de Normalização Setorial (ONS) </w:t>
      </w:r>
      <w:r w:rsidR="00260896">
        <w:rPr>
          <w:rFonts w:asciiTheme="majorHAnsi" w:hAnsiTheme="majorHAnsi" w:cstheme="majorHAnsi"/>
        </w:rPr>
        <w:t>são</w:t>
      </w:r>
      <w:r w:rsidRPr="00E37DDB">
        <w:rPr>
          <w:rFonts w:asciiTheme="majorHAnsi" w:hAnsiTheme="majorHAnsi" w:cstheme="majorHAnsi"/>
        </w:rPr>
        <w:t xml:space="preserve"> organismo</w:t>
      </w:r>
      <w:r w:rsidR="00260896">
        <w:rPr>
          <w:rFonts w:asciiTheme="majorHAnsi" w:hAnsiTheme="majorHAnsi" w:cstheme="majorHAnsi"/>
        </w:rPr>
        <w:t>s</w:t>
      </w:r>
      <w:r w:rsidRPr="00E37DDB">
        <w:rPr>
          <w:rFonts w:asciiTheme="majorHAnsi" w:hAnsiTheme="majorHAnsi" w:cstheme="majorHAnsi"/>
        </w:rPr>
        <w:t xml:space="preserve"> público</w:t>
      </w:r>
      <w:r w:rsidR="00260896">
        <w:rPr>
          <w:rFonts w:asciiTheme="majorHAnsi" w:hAnsiTheme="majorHAnsi" w:cstheme="majorHAnsi"/>
        </w:rPr>
        <w:t>s</w:t>
      </w:r>
      <w:r w:rsidRPr="00E37DDB">
        <w:rPr>
          <w:rFonts w:asciiTheme="majorHAnsi" w:hAnsiTheme="majorHAnsi" w:cstheme="majorHAnsi"/>
        </w:rPr>
        <w:t>, privado</w:t>
      </w:r>
      <w:r w:rsidR="00260896">
        <w:rPr>
          <w:rFonts w:asciiTheme="majorHAnsi" w:hAnsiTheme="majorHAnsi" w:cstheme="majorHAnsi"/>
        </w:rPr>
        <w:t>s</w:t>
      </w:r>
      <w:r w:rsidRPr="00E37DDB">
        <w:rPr>
          <w:rFonts w:asciiTheme="majorHAnsi" w:hAnsiTheme="majorHAnsi" w:cstheme="majorHAnsi"/>
        </w:rPr>
        <w:t xml:space="preserve"> ou misto</w:t>
      </w:r>
      <w:r w:rsidR="00260896">
        <w:rPr>
          <w:rFonts w:asciiTheme="majorHAnsi" w:hAnsiTheme="majorHAnsi" w:cstheme="majorHAnsi"/>
        </w:rPr>
        <w:t>s</w:t>
      </w:r>
      <w:r w:rsidRPr="00E37DDB">
        <w:rPr>
          <w:rFonts w:asciiTheme="majorHAnsi" w:hAnsiTheme="majorHAnsi" w:cstheme="majorHAnsi"/>
        </w:rPr>
        <w:t xml:space="preserve"> com atividade reconhecida no campo da normalizaç</w:t>
      </w:r>
      <w:r>
        <w:rPr>
          <w:rFonts w:asciiTheme="majorHAnsi" w:hAnsiTheme="majorHAnsi" w:cstheme="majorHAnsi"/>
        </w:rPr>
        <w:t>ão</w:t>
      </w:r>
      <w:r w:rsidR="00260896">
        <w:rPr>
          <w:rFonts w:asciiTheme="majorHAnsi" w:hAnsiTheme="majorHAnsi" w:cstheme="majorHAnsi"/>
        </w:rPr>
        <w:t xml:space="preserve"> e atuam</w:t>
      </w:r>
      <w:r>
        <w:rPr>
          <w:rFonts w:asciiTheme="majorHAnsi" w:hAnsiTheme="majorHAnsi" w:cstheme="majorHAnsi"/>
        </w:rPr>
        <w:t xml:space="preserve"> em </w:t>
      </w:r>
      <w:r w:rsidR="00260896">
        <w:rPr>
          <w:rFonts w:asciiTheme="majorHAnsi" w:hAnsiTheme="majorHAnsi" w:cstheme="majorHAnsi"/>
        </w:rPr>
        <w:t xml:space="preserve">um </w:t>
      </w:r>
      <w:r>
        <w:rPr>
          <w:rFonts w:asciiTheme="majorHAnsi" w:hAnsiTheme="majorHAnsi" w:cstheme="majorHAnsi"/>
        </w:rPr>
        <w:t>determinado setor produ</w:t>
      </w:r>
      <w:r w:rsidRPr="00E37DDB">
        <w:rPr>
          <w:rFonts w:asciiTheme="majorHAnsi" w:hAnsiTheme="majorHAnsi" w:cstheme="majorHAnsi"/>
        </w:rPr>
        <w:t>tivo</w:t>
      </w:r>
      <w:r w:rsidR="00260896">
        <w:rPr>
          <w:rFonts w:asciiTheme="majorHAnsi" w:hAnsiTheme="majorHAnsi" w:cstheme="majorHAnsi"/>
        </w:rPr>
        <w:t>. Estes</w:t>
      </w:r>
      <w:r w:rsidRPr="00E37DDB">
        <w:rPr>
          <w:rFonts w:asciiTheme="majorHAnsi" w:hAnsiTheme="majorHAnsi" w:cstheme="majorHAnsi"/>
        </w:rPr>
        <w:t xml:space="preserve"> </w:t>
      </w:r>
      <w:r w:rsidR="00260896">
        <w:rPr>
          <w:rFonts w:asciiTheme="majorHAnsi" w:hAnsiTheme="majorHAnsi" w:cstheme="majorHAnsi"/>
        </w:rPr>
        <w:t xml:space="preserve">Organismos são </w:t>
      </w:r>
      <w:r w:rsidRPr="00E37DDB">
        <w:rPr>
          <w:rFonts w:asciiTheme="majorHAnsi" w:hAnsiTheme="majorHAnsi" w:cstheme="majorHAnsi"/>
        </w:rPr>
        <w:t>credenciado</w:t>
      </w:r>
      <w:r w:rsidR="00260896">
        <w:rPr>
          <w:rFonts w:asciiTheme="majorHAnsi" w:hAnsiTheme="majorHAnsi" w:cstheme="majorHAnsi"/>
        </w:rPr>
        <w:t>s</w:t>
      </w:r>
      <w:r w:rsidRPr="00E37DDB">
        <w:rPr>
          <w:rFonts w:asciiTheme="majorHAnsi" w:hAnsiTheme="majorHAnsi" w:cstheme="majorHAnsi"/>
        </w:rPr>
        <w:t xml:space="preserve"> pelo Foro Nacional de Normalização, segundo critérios aprovados pelo Conmetro.</w:t>
      </w:r>
    </w:p>
    <w:p w14:paraId="5926EC08" w14:textId="185BBF51" w:rsidR="003F4185" w:rsidRPr="003F4185" w:rsidRDefault="003F4185" w:rsidP="003F4185">
      <w:pPr>
        <w:spacing w:before="120" w:after="240" w:line="360" w:lineRule="auto"/>
        <w:jc w:val="both"/>
        <w:rPr>
          <w:rFonts w:asciiTheme="majorHAnsi" w:hAnsiTheme="majorHAnsi" w:cstheme="majorHAnsi"/>
        </w:rPr>
      </w:pPr>
      <w:r w:rsidRPr="003F4185">
        <w:rPr>
          <w:rFonts w:asciiTheme="majorHAnsi" w:hAnsiTheme="majorHAnsi" w:cstheme="majorHAnsi"/>
        </w:rPr>
        <w:t xml:space="preserve">Na estrutura orgânica da ABNT, </w:t>
      </w:r>
      <w:r>
        <w:rPr>
          <w:rFonts w:asciiTheme="majorHAnsi" w:hAnsiTheme="majorHAnsi" w:cstheme="majorHAnsi"/>
        </w:rPr>
        <w:t xml:space="preserve">existem </w:t>
      </w:r>
      <w:r w:rsidRPr="003F4185">
        <w:rPr>
          <w:rFonts w:asciiTheme="majorHAnsi" w:hAnsiTheme="majorHAnsi" w:cstheme="majorHAnsi"/>
        </w:rPr>
        <w:t>três Organismos de Normalização</w:t>
      </w:r>
      <w:r>
        <w:rPr>
          <w:rFonts w:asciiTheme="majorHAnsi" w:hAnsiTheme="majorHAnsi" w:cstheme="majorHAnsi"/>
        </w:rPr>
        <w:t xml:space="preserve"> Setorial (ONS). São eles:</w:t>
      </w:r>
    </w:p>
    <w:p w14:paraId="4539E72B" w14:textId="3CCBACA8" w:rsidR="003F4185" w:rsidRPr="003F4185" w:rsidRDefault="003F4185" w:rsidP="00A31971">
      <w:pPr>
        <w:spacing w:line="360" w:lineRule="auto"/>
        <w:jc w:val="both"/>
        <w:rPr>
          <w:rFonts w:asciiTheme="majorHAnsi" w:hAnsiTheme="majorHAnsi" w:cstheme="majorHAnsi"/>
        </w:rPr>
      </w:pPr>
      <w:r w:rsidRPr="00C86AE2">
        <w:rPr>
          <w:rFonts w:asciiTheme="majorHAnsi" w:hAnsiTheme="majorHAnsi" w:cstheme="majorHAnsi"/>
          <w:b/>
          <w:color w:val="E1B937"/>
        </w:rPr>
        <w:t>ONS-27</w:t>
      </w:r>
      <w:r w:rsidRPr="00C86AE2">
        <w:rPr>
          <w:rFonts w:asciiTheme="majorHAnsi" w:hAnsiTheme="majorHAnsi" w:cstheme="majorHAnsi"/>
          <w:color w:val="E1B937"/>
        </w:rPr>
        <w:t xml:space="preserve"> </w:t>
      </w:r>
      <w:r w:rsidRPr="003F4185">
        <w:rPr>
          <w:rFonts w:asciiTheme="majorHAnsi" w:hAnsiTheme="majorHAnsi" w:cstheme="majorHAnsi"/>
        </w:rPr>
        <w:t xml:space="preserve">– </w:t>
      </w:r>
      <w:r w:rsidR="00A83423" w:rsidRPr="003F4185">
        <w:rPr>
          <w:rFonts w:asciiTheme="majorHAnsi" w:hAnsiTheme="majorHAnsi" w:cstheme="majorHAnsi"/>
        </w:rPr>
        <w:t>Organismos de Normalização</w:t>
      </w:r>
      <w:r w:rsidR="00A83423">
        <w:rPr>
          <w:rFonts w:asciiTheme="majorHAnsi" w:hAnsiTheme="majorHAnsi" w:cstheme="majorHAnsi"/>
        </w:rPr>
        <w:t xml:space="preserve"> Setorial de </w:t>
      </w:r>
      <w:r w:rsidRPr="003F4185">
        <w:rPr>
          <w:rFonts w:asciiTheme="majorHAnsi" w:hAnsiTheme="majorHAnsi" w:cstheme="majorHAnsi"/>
        </w:rPr>
        <w:t>Tecnologia Gráfica</w:t>
      </w:r>
    </w:p>
    <w:p w14:paraId="5966248D" w14:textId="09A623C0" w:rsidR="003F4185" w:rsidRPr="003F4185" w:rsidRDefault="003F4185" w:rsidP="00A31971">
      <w:pPr>
        <w:spacing w:line="360" w:lineRule="auto"/>
        <w:jc w:val="both"/>
        <w:rPr>
          <w:rFonts w:asciiTheme="majorHAnsi" w:hAnsiTheme="majorHAnsi" w:cstheme="majorHAnsi"/>
        </w:rPr>
      </w:pPr>
      <w:r w:rsidRPr="00C86AE2">
        <w:rPr>
          <w:rFonts w:asciiTheme="majorHAnsi" w:hAnsiTheme="majorHAnsi" w:cstheme="majorHAnsi"/>
          <w:b/>
          <w:color w:val="E1B937"/>
        </w:rPr>
        <w:t>ONS-34</w:t>
      </w:r>
      <w:r w:rsidRPr="00C86AE2">
        <w:rPr>
          <w:rFonts w:asciiTheme="majorHAnsi" w:hAnsiTheme="majorHAnsi" w:cstheme="majorHAnsi"/>
          <w:color w:val="E1B937"/>
        </w:rPr>
        <w:t xml:space="preserve"> </w:t>
      </w:r>
      <w:r w:rsidRPr="003F4185">
        <w:rPr>
          <w:rFonts w:asciiTheme="majorHAnsi" w:hAnsiTheme="majorHAnsi" w:cstheme="majorHAnsi"/>
        </w:rPr>
        <w:t xml:space="preserve">– </w:t>
      </w:r>
      <w:r w:rsidR="00A83423" w:rsidRPr="003F4185">
        <w:rPr>
          <w:rFonts w:asciiTheme="majorHAnsi" w:hAnsiTheme="majorHAnsi" w:cstheme="majorHAnsi"/>
        </w:rPr>
        <w:t>Organismos de Normalização</w:t>
      </w:r>
      <w:r w:rsidR="00A83423">
        <w:rPr>
          <w:rFonts w:asciiTheme="majorHAnsi" w:hAnsiTheme="majorHAnsi" w:cstheme="majorHAnsi"/>
        </w:rPr>
        <w:t xml:space="preserve"> Setorial de </w:t>
      </w:r>
      <w:r w:rsidRPr="003F4185">
        <w:rPr>
          <w:rFonts w:asciiTheme="majorHAnsi" w:hAnsiTheme="majorHAnsi" w:cstheme="majorHAnsi"/>
        </w:rPr>
        <w:t>Petróleo</w:t>
      </w:r>
    </w:p>
    <w:p w14:paraId="35C03B9A" w14:textId="78793D58" w:rsidR="00463DEE" w:rsidRPr="00E37DDB" w:rsidRDefault="003F4185" w:rsidP="00A31971">
      <w:pPr>
        <w:spacing w:line="360" w:lineRule="auto"/>
        <w:jc w:val="both"/>
        <w:rPr>
          <w:rFonts w:asciiTheme="majorHAnsi" w:hAnsiTheme="majorHAnsi" w:cstheme="majorHAnsi"/>
        </w:rPr>
      </w:pPr>
      <w:r w:rsidRPr="00C86AE2">
        <w:rPr>
          <w:rFonts w:asciiTheme="majorHAnsi" w:hAnsiTheme="majorHAnsi" w:cstheme="majorHAnsi"/>
          <w:b/>
          <w:color w:val="E1B937"/>
        </w:rPr>
        <w:t>ONS-51</w:t>
      </w:r>
      <w:r w:rsidRPr="00C86AE2">
        <w:rPr>
          <w:rFonts w:asciiTheme="majorHAnsi" w:hAnsiTheme="majorHAnsi" w:cstheme="majorHAnsi"/>
          <w:color w:val="E1B937"/>
        </w:rPr>
        <w:t xml:space="preserve"> </w:t>
      </w:r>
      <w:r w:rsidRPr="003F4185">
        <w:rPr>
          <w:rFonts w:asciiTheme="majorHAnsi" w:hAnsiTheme="majorHAnsi" w:cstheme="majorHAnsi"/>
        </w:rPr>
        <w:t xml:space="preserve">– </w:t>
      </w:r>
      <w:r w:rsidR="00A83423" w:rsidRPr="003F4185">
        <w:rPr>
          <w:rFonts w:asciiTheme="majorHAnsi" w:hAnsiTheme="majorHAnsi" w:cstheme="majorHAnsi"/>
        </w:rPr>
        <w:t>Organismos de Normalização</w:t>
      </w:r>
      <w:r w:rsidR="00A83423">
        <w:rPr>
          <w:rFonts w:asciiTheme="majorHAnsi" w:hAnsiTheme="majorHAnsi" w:cstheme="majorHAnsi"/>
        </w:rPr>
        <w:t xml:space="preserve"> Setorial de </w:t>
      </w:r>
      <w:r w:rsidRPr="003F4185">
        <w:rPr>
          <w:rFonts w:asciiTheme="majorHAnsi" w:hAnsiTheme="majorHAnsi" w:cstheme="majorHAnsi"/>
        </w:rPr>
        <w:t>Embalagens e Acondicionamentos Plásticos</w:t>
      </w:r>
    </w:p>
    <w:p w14:paraId="7EF78DFC" w14:textId="77777777" w:rsidR="00E37DDB" w:rsidRPr="00E37DDB" w:rsidRDefault="00E37DDB" w:rsidP="00A83423">
      <w:pPr>
        <w:spacing w:line="360" w:lineRule="auto"/>
        <w:jc w:val="both"/>
        <w:rPr>
          <w:rFonts w:asciiTheme="majorHAnsi" w:hAnsiTheme="majorHAnsi" w:cstheme="majorHAnsi"/>
        </w:rPr>
      </w:pPr>
    </w:p>
    <w:p w14:paraId="7A0EE5AB" w14:textId="77777777" w:rsidR="00E37DDB" w:rsidRPr="00E37DDB" w:rsidRDefault="00E37DDB" w:rsidP="001F4EDA">
      <w:pPr>
        <w:pStyle w:val="Ttulo2"/>
        <w:numPr>
          <w:ilvl w:val="1"/>
          <w:numId w:val="13"/>
        </w:numPr>
        <w:tabs>
          <w:tab w:val="left" w:pos="567"/>
        </w:tabs>
        <w:spacing w:before="120" w:beforeAutospacing="0" w:after="240" w:afterAutospacing="0" w:line="360" w:lineRule="auto"/>
        <w:ind w:left="0" w:firstLine="0"/>
      </w:pPr>
      <w:bookmarkStart w:id="10" w:name="_Toc26001155"/>
      <w:r w:rsidRPr="00E37DDB">
        <w:t>Comitê Brasileiro de Normalização (CBN)</w:t>
      </w:r>
      <w:bookmarkEnd w:id="10"/>
    </w:p>
    <w:p w14:paraId="288DCB55" w14:textId="7AA8ACE2" w:rsidR="00E37DDB"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t>O Comitê Brasileiro de Normalização (CBN) assessor</w:t>
      </w:r>
      <w:r>
        <w:rPr>
          <w:rFonts w:asciiTheme="majorHAnsi" w:hAnsiTheme="majorHAnsi" w:cstheme="majorHAnsi"/>
        </w:rPr>
        <w:t>a e subsidia o Conmetro nos as</w:t>
      </w:r>
      <w:r w:rsidRPr="00E37DDB">
        <w:rPr>
          <w:rFonts w:asciiTheme="majorHAnsi" w:hAnsiTheme="majorHAnsi" w:cstheme="majorHAnsi"/>
        </w:rPr>
        <w:t xml:space="preserve">suntos relativos à normalização, especialmente aqueles que fazem parte do Termo de Referência do SBN, inclusive no que se refere à relação entre a normalização e a atividade de regulamentação técnica. O CBN também acompanha e avalia a aplicação da Estratégia Brasileira de Normalização e a execução </w:t>
      </w:r>
      <w:r>
        <w:rPr>
          <w:rFonts w:asciiTheme="majorHAnsi" w:hAnsiTheme="majorHAnsi" w:cstheme="majorHAnsi"/>
        </w:rPr>
        <w:t>e os resultados do Plano Estra</w:t>
      </w:r>
      <w:r w:rsidRPr="00E37DDB">
        <w:rPr>
          <w:rFonts w:asciiTheme="majorHAnsi" w:hAnsiTheme="majorHAnsi" w:cstheme="majorHAnsi"/>
        </w:rPr>
        <w:t>tégico da Normalização Brasileira, além de desempenhar outras tarefas que lhe forem confiadas pelo Conmetro.</w:t>
      </w:r>
    </w:p>
    <w:p w14:paraId="065C9F3A" w14:textId="77777777" w:rsidR="00E37DDB" w:rsidRDefault="00E37DDB" w:rsidP="00EA63CA">
      <w:pPr>
        <w:spacing w:before="120" w:after="240" w:line="360" w:lineRule="auto"/>
        <w:jc w:val="both"/>
        <w:rPr>
          <w:rFonts w:asciiTheme="majorHAnsi" w:hAnsiTheme="majorHAnsi" w:cstheme="majorHAnsi"/>
        </w:rPr>
      </w:pPr>
    </w:p>
    <w:p w14:paraId="3F5F98E0" w14:textId="77777777" w:rsidR="00C86AE2" w:rsidRDefault="00C86AE2" w:rsidP="00EA63CA">
      <w:pPr>
        <w:spacing w:before="120" w:after="240" w:line="360" w:lineRule="auto"/>
        <w:jc w:val="both"/>
        <w:rPr>
          <w:rFonts w:asciiTheme="majorHAnsi" w:hAnsiTheme="majorHAnsi" w:cstheme="majorHAnsi"/>
        </w:rPr>
      </w:pPr>
    </w:p>
    <w:p w14:paraId="7B8CEA7D" w14:textId="77777777" w:rsidR="00E37DDB" w:rsidRPr="00E37DDB" w:rsidRDefault="00E37DDB" w:rsidP="001F4EDA">
      <w:pPr>
        <w:pStyle w:val="Ttulo2"/>
        <w:numPr>
          <w:ilvl w:val="1"/>
          <w:numId w:val="13"/>
        </w:numPr>
        <w:tabs>
          <w:tab w:val="left" w:pos="567"/>
        </w:tabs>
        <w:spacing w:before="120" w:beforeAutospacing="0" w:after="240" w:afterAutospacing="0" w:line="360" w:lineRule="auto"/>
        <w:ind w:left="0" w:firstLine="0"/>
      </w:pPr>
      <w:bookmarkStart w:id="11" w:name="_Toc26001156"/>
      <w:r w:rsidRPr="00E37DDB">
        <w:lastRenderedPageBreak/>
        <w:t>Objetivos da normalização</w:t>
      </w:r>
      <w:bookmarkEnd w:id="11"/>
    </w:p>
    <w:p w14:paraId="680CA88E" w14:textId="4B174287" w:rsidR="00E37DDB" w:rsidRPr="00E37DDB" w:rsidRDefault="00747DFF" w:rsidP="00EA63CA">
      <w:pPr>
        <w:spacing w:before="120" w:after="240" w:line="360" w:lineRule="auto"/>
        <w:jc w:val="both"/>
        <w:rPr>
          <w:rFonts w:asciiTheme="majorHAnsi" w:hAnsiTheme="majorHAnsi" w:cstheme="majorHAnsi"/>
        </w:rPr>
      </w:pPr>
      <w:r>
        <w:rPr>
          <w:rFonts w:asciiTheme="majorHAnsi" w:hAnsiTheme="majorHAnsi" w:cstheme="majorHAnsi"/>
        </w:rPr>
        <w:t>Agora que você já sabe o que é normalização, v</w:t>
      </w:r>
      <w:r w:rsidR="00A31971">
        <w:rPr>
          <w:rFonts w:asciiTheme="majorHAnsi" w:hAnsiTheme="majorHAnsi" w:cstheme="majorHAnsi"/>
        </w:rPr>
        <w:t>eja alguns dos</w:t>
      </w:r>
      <w:r w:rsidR="00E37DDB" w:rsidRPr="00E37DDB">
        <w:rPr>
          <w:rFonts w:asciiTheme="majorHAnsi" w:hAnsiTheme="majorHAnsi" w:cstheme="majorHAnsi"/>
        </w:rPr>
        <w:t xml:space="preserve"> </w:t>
      </w:r>
      <w:r>
        <w:rPr>
          <w:rFonts w:asciiTheme="majorHAnsi" w:hAnsiTheme="majorHAnsi" w:cstheme="majorHAnsi"/>
        </w:rPr>
        <w:t xml:space="preserve">seus </w:t>
      </w:r>
      <w:r w:rsidR="00E37DDB" w:rsidRPr="00E37DDB">
        <w:rPr>
          <w:rFonts w:asciiTheme="majorHAnsi" w:hAnsiTheme="majorHAnsi" w:cstheme="majorHAnsi"/>
        </w:rPr>
        <w:t>objetivos</w:t>
      </w:r>
      <w:r w:rsidR="00A31971">
        <w:rPr>
          <w:rFonts w:asciiTheme="majorHAnsi" w:hAnsiTheme="majorHAnsi" w:cstheme="majorHAnsi"/>
        </w:rPr>
        <w:t>:</w:t>
      </w:r>
    </w:p>
    <w:p w14:paraId="48AB4632" w14:textId="06A8BB7D" w:rsidR="00E37DDB" w:rsidRPr="00E37DDB" w:rsidRDefault="00C86AE2" w:rsidP="00C86AE2">
      <w:pPr>
        <w:tabs>
          <w:tab w:val="left" w:pos="284"/>
          <w:tab w:val="left" w:pos="3828"/>
        </w:tabs>
        <w:spacing w:before="120" w:after="240" w:line="360" w:lineRule="auto"/>
        <w:jc w:val="both"/>
        <w:rPr>
          <w:rFonts w:asciiTheme="majorHAnsi" w:hAnsiTheme="majorHAnsi" w:cstheme="majorHAnsi"/>
        </w:rPr>
      </w:pPr>
      <w:r w:rsidRPr="00C86AE2">
        <w:rPr>
          <w:noProof/>
          <w:color w:val="E1B937"/>
          <w:lang w:eastAsia="pt-BR"/>
        </w:rPr>
        <w:drawing>
          <wp:anchor distT="0" distB="0" distL="114300" distR="114300" simplePos="0" relativeHeight="251667968" behindDoc="0" locked="0" layoutInCell="1" allowOverlap="1" wp14:anchorId="20A7367B" wp14:editId="1BE1135E">
            <wp:simplePos x="0" y="0"/>
            <wp:positionH relativeFrom="margin">
              <wp:align>left</wp:align>
            </wp:positionH>
            <wp:positionV relativeFrom="paragraph">
              <wp:posOffset>53885</wp:posOffset>
            </wp:positionV>
            <wp:extent cx="2076450" cy="2002155"/>
            <wp:effectExtent l="0" t="0" r="0" b="0"/>
            <wp:wrapSquare wrapText="bothSides"/>
            <wp:docPr id="19" name="Imagem 19" descr="https://entib.org.br/entib/imagens/FAML_M1_A01_1.7_dar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tib.org.br/entib/imagens/FAML_M1_A01_1.7_dard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6450" cy="200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DDB" w:rsidRPr="00C86AE2">
        <w:rPr>
          <w:rFonts w:asciiTheme="majorHAnsi" w:hAnsiTheme="majorHAnsi" w:cstheme="majorHAnsi"/>
          <w:b/>
          <w:color w:val="E1B937"/>
        </w:rPr>
        <w:t>a)</w:t>
      </w:r>
      <w:r w:rsidR="00E37DDB" w:rsidRPr="00C86AE2">
        <w:rPr>
          <w:rFonts w:asciiTheme="majorHAnsi" w:hAnsiTheme="majorHAnsi" w:cstheme="majorHAnsi"/>
          <w:b/>
          <w:color w:val="E1B937"/>
        </w:rPr>
        <w:tab/>
        <w:t>Compatibilidade</w:t>
      </w:r>
      <w:r>
        <w:rPr>
          <w:rFonts w:asciiTheme="majorHAnsi" w:hAnsiTheme="majorHAnsi" w:cstheme="majorHAnsi"/>
          <w:b/>
          <w:color w:val="E1B937"/>
        </w:rPr>
        <w:t>:</w:t>
      </w:r>
      <w:r w:rsidR="00E37DDB" w:rsidRPr="00E37DDB">
        <w:rPr>
          <w:rFonts w:asciiTheme="majorHAnsi" w:hAnsiTheme="majorHAnsi" w:cstheme="majorHAnsi"/>
        </w:rPr>
        <w:t xml:space="preserve"> capacidade de produtos ou</w:t>
      </w:r>
      <w:r w:rsidR="00812B7B">
        <w:rPr>
          <w:rFonts w:asciiTheme="majorHAnsi" w:hAnsiTheme="majorHAnsi" w:cstheme="majorHAnsi"/>
        </w:rPr>
        <w:t xml:space="preserve"> processos serem usados em con</w:t>
      </w:r>
      <w:r w:rsidR="00E37DDB" w:rsidRPr="00E37DDB">
        <w:rPr>
          <w:rFonts w:asciiTheme="majorHAnsi" w:hAnsiTheme="majorHAnsi" w:cstheme="majorHAnsi"/>
        </w:rPr>
        <w:t>junto, sob condições específicas, para atender a requisitos pertinentes, sem causar interações inaceitáveis.</w:t>
      </w:r>
    </w:p>
    <w:p w14:paraId="3EF6EEE6" w14:textId="40640B19" w:rsidR="00E37DDB" w:rsidRPr="00E37DDB" w:rsidRDefault="00E37DDB" w:rsidP="00C86AE2">
      <w:pPr>
        <w:tabs>
          <w:tab w:val="left" w:pos="284"/>
          <w:tab w:val="left" w:pos="3828"/>
        </w:tabs>
        <w:spacing w:before="120" w:after="240" w:line="360" w:lineRule="auto"/>
        <w:jc w:val="both"/>
        <w:rPr>
          <w:rFonts w:asciiTheme="majorHAnsi" w:hAnsiTheme="majorHAnsi" w:cstheme="majorHAnsi"/>
        </w:rPr>
      </w:pPr>
      <w:r w:rsidRPr="00C86AE2">
        <w:rPr>
          <w:rFonts w:asciiTheme="majorHAnsi" w:hAnsiTheme="majorHAnsi" w:cstheme="majorHAnsi"/>
          <w:color w:val="E1B937"/>
        </w:rPr>
        <w:t xml:space="preserve"> </w:t>
      </w:r>
      <w:r w:rsidRPr="00C86AE2">
        <w:rPr>
          <w:rFonts w:asciiTheme="majorHAnsi" w:hAnsiTheme="majorHAnsi" w:cstheme="majorHAnsi"/>
          <w:b/>
          <w:color w:val="E1B937"/>
        </w:rPr>
        <w:t>b)</w:t>
      </w:r>
      <w:r w:rsidRPr="00C86AE2">
        <w:rPr>
          <w:rFonts w:asciiTheme="majorHAnsi" w:hAnsiTheme="majorHAnsi" w:cstheme="majorHAnsi"/>
          <w:b/>
          <w:color w:val="E1B937"/>
        </w:rPr>
        <w:tab/>
        <w:t>Intercambialidade</w:t>
      </w:r>
      <w:r w:rsidR="00C86AE2">
        <w:rPr>
          <w:rFonts w:asciiTheme="majorHAnsi" w:hAnsiTheme="majorHAnsi" w:cstheme="majorHAnsi"/>
          <w:b/>
          <w:color w:val="E1B937"/>
        </w:rPr>
        <w:t xml:space="preserve">: </w:t>
      </w:r>
      <w:r w:rsidRPr="00E37DDB">
        <w:rPr>
          <w:rFonts w:asciiTheme="majorHAnsi" w:hAnsiTheme="majorHAnsi" w:cstheme="majorHAnsi"/>
        </w:rPr>
        <w:t>capacidade de processos ou</w:t>
      </w:r>
      <w:r w:rsidR="0082206E">
        <w:rPr>
          <w:rFonts w:asciiTheme="majorHAnsi" w:hAnsiTheme="majorHAnsi" w:cstheme="majorHAnsi"/>
        </w:rPr>
        <w:t xml:space="preserve"> produtos de atender aos mesmos </w:t>
      </w:r>
      <w:r w:rsidRPr="00E37DDB">
        <w:rPr>
          <w:rFonts w:asciiTheme="majorHAnsi" w:hAnsiTheme="majorHAnsi" w:cstheme="majorHAnsi"/>
        </w:rPr>
        <w:t>requisitos. Como exemplo, a fabricação de porcas e</w:t>
      </w:r>
      <w:r w:rsidR="00812B7B">
        <w:rPr>
          <w:rFonts w:asciiTheme="majorHAnsi" w:hAnsiTheme="majorHAnsi" w:cstheme="majorHAnsi"/>
        </w:rPr>
        <w:t xml:space="preserve"> parafusos, cujas normas orien</w:t>
      </w:r>
      <w:r w:rsidRPr="00E37DDB">
        <w:rPr>
          <w:rFonts w:asciiTheme="majorHAnsi" w:hAnsiTheme="majorHAnsi" w:cstheme="majorHAnsi"/>
        </w:rPr>
        <w:t>tam os fabricantes a produzir em igual tamanho, forma e desempenho.</w:t>
      </w:r>
    </w:p>
    <w:p w14:paraId="36384DBC" w14:textId="45B2CCC7" w:rsidR="00C86AE2" w:rsidRDefault="00E37DDB" w:rsidP="00C86AE2">
      <w:pPr>
        <w:tabs>
          <w:tab w:val="left" w:pos="284"/>
        </w:tabs>
        <w:spacing w:before="120" w:after="240" w:line="360" w:lineRule="auto"/>
        <w:jc w:val="both"/>
        <w:rPr>
          <w:rFonts w:asciiTheme="majorHAnsi" w:hAnsiTheme="majorHAnsi" w:cstheme="majorHAnsi"/>
        </w:rPr>
      </w:pPr>
      <w:r w:rsidRPr="00C86AE2">
        <w:rPr>
          <w:rFonts w:asciiTheme="majorHAnsi" w:hAnsiTheme="majorHAnsi" w:cstheme="majorHAnsi"/>
          <w:b/>
          <w:color w:val="E1B937"/>
        </w:rPr>
        <w:t>c)</w:t>
      </w:r>
      <w:r w:rsidRPr="00C86AE2">
        <w:rPr>
          <w:rFonts w:asciiTheme="majorHAnsi" w:hAnsiTheme="majorHAnsi" w:cstheme="majorHAnsi"/>
          <w:b/>
          <w:color w:val="E1B937"/>
        </w:rPr>
        <w:tab/>
        <w:t>Controle da</w:t>
      </w:r>
      <w:r w:rsidRPr="00C86AE2">
        <w:rPr>
          <w:rFonts w:asciiTheme="majorHAnsi" w:hAnsiTheme="majorHAnsi" w:cstheme="majorHAnsi"/>
          <w:color w:val="E1B937"/>
        </w:rPr>
        <w:t xml:space="preserve"> </w:t>
      </w:r>
      <w:r w:rsidRPr="00C86AE2">
        <w:rPr>
          <w:rFonts w:asciiTheme="majorHAnsi" w:hAnsiTheme="majorHAnsi" w:cstheme="majorHAnsi"/>
          <w:b/>
          <w:color w:val="E1B937"/>
        </w:rPr>
        <w:t>variedade</w:t>
      </w:r>
      <w:r w:rsidR="00C86AE2">
        <w:rPr>
          <w:rFonts w:asciiTheme="majorHAnsi" w:hAnsiTheme="majorHAnsi" w:cstheme="majorHAnsi"/>
          <w:b/>
          <w:color w:val="E1B937"/>
        </w:rPr>
        <w:t xml:space="preserve">: </w:t>
      </w:r>
      <w:r w:rsidRPr="00E37DDB">
        <w:rPr>
          <w:rFonts w:asciiTheme="majorHAnsi" w:hAnsiTheme="majorHAnsi" w:cstheme="majorHAnsi"/>
        </w:rPr>
        <w:t>seleção do número de tamanhos ou de tipos de processos</w:t>
      </w:r>
      <w:r w:rsidR="0082206E">
        <w:rPr>
          <w:rFonts w:asciiTheme="majorHAnsi" w:hAnsiTheme="majorHAnsi" w:cstheme="majorHAnsi"/>
        </w:rPr>
        <w:t xml:space="preserve"> </w:t>
      </w:r>
      <w:r w:rsidRPr="00E37DDB">
        <w:rPr>
          <w:rFonts w:asciiTheme="majorHAnsi" w:hAnsiTheme="majorHAnsi" w:cstheme="majorHAnsi"/>
        </w:rPr>
        <w:t>para atender às necessidades, reduzindo a variedade.</w:t>
      </w:r>
    </w:p>
    <w:p w14:paraId="1106A3FB" w14:textId="3399DE4B" w:rsidR="00E37DDB" w:rsidRPr="00E37DDB" w:rsidRDefault="00E37DDB" w:rsidP="00C86AE2">
      <w:pPr>
        <w:tabs>
          <w:tab w:val="left" w:pos="284"/>
        </w:tabs>
        <w:spacing w:before="120" w:after="240" w:line="360" w:lineRule="auto"/>
        <w:jc w:val="both"/>
        <w:rPr>
          <w:rFonts w:asciiTheme="majorHAnsi" w:hAnsiTheme="majorHAnsi" w:cstheme="majorHAnsi"/>
        </w:rPr>
      </w:pPr>
      <w:r w:rsidRPr="00C86AE2">
        <w:rPr>
          <w:rFonts w:asciiTheme="majorHAnsi" w:hAnsiTheme="majorHAnsi" w:cstheme="majorHAnsi"/>
          <w:b/>
          <w:color w:val="E1B937"/>
        </w:rPr>
        <w:t>d)</w:t>
      </w:r>
      <w:r w:rsidRPr="00C86AE2">
        <w:rPr>
          <w:rFonts w:asciiTheme="majorHAnsi" w:hAnsiTheme="majorHAnsi" w:cstheme="majorHAnsi"/>
          <w:b/>
          <w:color w:val="E1B937"/>
        </w:rPr>
        <w:tab/>
        <w:t>Segurança</w:t>
      </w:r>
      <w:r w:rsidR="00C86AE2">
        <w:rPr>
          <w:rFonts w:asciiTheme="majorHAnsi" w:hAnsiTheme="majorHAnsi" w:cstheme="majorHAnsi"/>
          <w:b/>
          <w:color w:val="E1B937"/>
        </w:rPr>
        <w:t xml:space="preserve">: </w:t>
      </w:r>
      <w:r w:rsidRPr="00E37DDB">
        <w:rPr>
          <w:rFonts w:asciiTheme="majorHAnsi" w:hAnsiTheme="majorHAnsi" w:cstheme="majorHAnsi"/>
        </w:rPr>
        <w:t>visa à obtenção do equilíbrio de certo número de fatores técnicos e não técnicos, reduzindo a níveis aceitáveis os riscos a pessoas ou a materiais.</w:t>
      </w:r>
    </w:p>
    <w:p w14:paraId="46CDA1BC" w14:textId="60F8CB2B" w:rsidR="00E37DDB" w:rsidRPr="00E37DDB" w:rsidRDefault="00E37DDB" w:rsidP="00C86AE2">
      <w:pPr>
        <w:tabs>
          <w:tab w:val="left" w:pos="284"/>
        </w:tabs>
        <w:spacing w:before="120" w:after="240" w:line="360" w:lineRule="auto"/>
        <w:jc w:val="both"/>
        <w:rPr>
          <w:rFonts w:asciiTheme="majorHAnsi" w:hAnsiTheme="majorHAnsi" w:cstheme="majorHAnsi"/>
        </w:rPr>
      </w:pPr>
      <w:r w:rsidRPr="00C86AE2">
        <w:rPr>
          <w:rFonts w:asciiTheme="majorHAnsi" w:hAnsiTheme="majorHAnsi" w:cstheme="majorHAnsi"/>
          <w:b/>
          <w:color w:val="E1B937"/>
        </w:rPr>
        <w:t>e)</w:t>
      </w:r>
      <w:r w:rsidRPr="00C86AE2">
        <w:rPr>
          <w:rFonts w:asciiTheme="majorHAnsi" w:hAnsiTheme="majorHAnsi" w:cstheme="majorHAnsi"/>
          <w:b/>
          <w:color w:val="E1B937"/>
        </w:rPr>
        <w:tab/>
        <w:t>Proteção do meio ambiente</w:t>
      </w:r>
      <w:r w:rsidR="00C86AE2">
        <w:rPr>
          <w:rFonts w:asciiTheme="majorHAnsi" w:hAnsiTheme="majorHAnsi" w:cstheme="majorHAnsi"/>
          <w:b/>
          <w:color w:val="E1B937"/>
        </w:rPr>
        <w:t xml:space="preserve">: </w:t>
      </w:r>
      <w:r w:rsidRPr="00E37DDB">
        <w:rPr>
          <w:rFonts w:asciiTheme="majorHAnsi" w:hAnsiTheme="majorHAnsi" w:cstheme="majorHAnsi"/>
        </w:rPr>
        <w:t xml:space="preserve"> evitam-se danos inaceitáveis decorrentes dos efeitos e da aplicação de produtos, e da execução de processos e serviços.</w:t>
      </w:r>
    </w:p>
    <w:p w14:paraId="59C2830F" w14:textId="10E4AC0E" w:rsidR="00E37DDB" w:rsidRPr="00E37DDB" w:rsidRDefault="00E37DDB" w:rsidP="00C86AE2">
      <w:pPr>
        <w:tabs>
          <w:tab w:val="left" w:pos="284"/>
        </w:tabs>
        <w:spacing w:before="120" w:after="240" w:line="360" w:lineRule="auto"/>
        <w:jc w:val="both"/>
        <w:rPr>
          <w:rFonts w:asciiTheme="majorHAnsi" w:hAnsiTheme="majorHAnsi" w:cstheme="majorHAnsi"/>
        </w:rPr>
      </w:pPr>
      <w:r w:rsidRPr="00C86AE2">
        <w:rPr>
          <w:rFonts w:asciiTheme="majorHAnsi" w:hAnsiTheme="majorHAnsi" w:cstheme="majorHAnsi"/>
          <w:b/>
          <w:color w:val="E1B937"/>
        </w:rPr>
        <w:t>f)</w:t>
      </w:r>
      <w:r w:rsidRPr="00C86AE2">
        <w:rPr>
          <w:rFonts w:asciiTheme="majorHAnsi" w:hAnsiTheme="majorHAnsi" w:cstheme="majorHAnsi"/>
          <w:b/>
          <w:color w:val="E1B937"/>
        </w:rPr>
        <w:tab/>
        <w:t>Proteção do produto</w:t>
      </w:r>
      <w:r w:rsidR="00C86AE2">
        <w:rPr>
          <w:rFonts w:asciiTheme="majorHAnsi" w:hAnsiTheme="majorHAnsi" w:cstheme="majorHAnsi"/>
          <w:b/>
          <w:color w:val="E1B937"/>
        </w:rPr>
        <w:t xml:space="preserve">: </w:t>
      </w:r>
      <w:r w:rsidRPr="00E37DDB">
        <w:rPr>
          <w:rFonts w:asciiTheme="majorHAnsi" w:hAnsiTheme="majorHAnsi" w:cstheme="majorHAnsi"/>
        </w:rPr>
        <w:t>é importante evitar expor o produto a condições climáticas ou a outras condições adversas durante seu uso, transporte ou armazenamento.</w:t>
      </w:r>
    </w:p>
    <w:p w14:paraId="1D7C0E83" w14:textId="77777777" w:rsidR="00E37DDB" w:rsidRDefault="00E37DDB" w:rsidP="00EA63CA">
      <w:pPr>
        <w:spacing w:before="120" w:after="240" w:line="360" w:lineRule="auto"/>
        <w:jc w:val="both"/>
        <w:rPr>
          <w:rFonts w:asciiTheme="majorHAnsi" w:hAnsiTheme="majorHAnsi" w:cstheme="majorHAnsi"/>
        </w:rPr>
      </w:pPr>
    </w:p>
    <w:p w14:paraId="162AC785" w14:textId="77777777" w:rsidR="00E37DDB" w:rsidRPr="00E37DDB" w:rsidRDefault="00E37DDB" w:rsidP="001F4EDA">
      <w:pPr>
        <w:pStyle w:val="Ttulo2"/>
        <w:numPr>
          <w:ilvl w:val="1"/>
          <w:numId w:val="13"/>
        </w:numPr>
        <w:tabs>
          <w:tab w:val="left" w:pos="567"/>
        </w:tabs>
        <w:spacing w:before="120" w:beforeAutospacing="0" w:after="240" w:afterAutospacing="0" w:line="360" w:lineRule="auto"/>
        <w:ind w:left="0" w:firstLine="0"/>
      </w:pPr>
      <w:bookmarkStart w:id="12" w:name="_Toc26001157"/>
      <w:r w:rsidRPr="00E37DDB">
        <w:t>O processo de normalização</w:t>
      </w:r>
      <w:bookmarkEnd w:id="12"/>
    </w:p>
    <w:p w14:paraId="7F4AF6B7" w14:textId="0B49BA38" w:rsidR="00657D8F"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t>O processo de normalização é composto pelas seguint</w:t>
      </w:r>
      <w:r>
        <w:rPr>
          <w:rFonts w:asciiTheme="majorHAnsi" w:hAnsiTheme="majorHAnsi" w:cstheme="majorHAnsi"/>
        </w:rPr>
        <w:t>es etapas: planejamento, elabo</w:t>
      </w:r>
      <w:r w:rsidRPr="00E37DDB">
        <w:rPr>
          <w:rFonts w:asciiTheme="majorHAnsi" w:hAnsiTheme="majorHAnsi" w:cstheme="majorHAnsi"/>
        </w:rPr>
        <w:t xml:space="preserve">ração, aprovação e publicação. A imagem </w:t>
      </w:r>
      <w:r w:rsidR="00657D8F">
        <w:rPr>
          <w:rFonts w:asciiTheme="majorHAnsi" w:hAnsiTheme="majorHAnsi" w:cstheme="majorHAnsi"/>
        </w:rPr>
        <w:t>a seguir</w:t>
      </w:r>
      <w:r w:rsidR="00657D8F" w:rsidRPr="00E37DDB">
        <w:rPr>
          <w:rFonts w:asciiTheme="majorHAnsi" w:hAnsiTheme="majorHAnsi" w:cstheme="majorHAnsi"/>
        </w:rPr>
        <w:t xml:space="preserve"> </w:t>
      </w:r>
      <w:r w:rsidRPr="00E37DDB">
        <w:rPr>
          <w:rFonts w:asciiTheme="majorHAnsi" w:hAnsiTheme="majorHAnsi" w:cstheme="majorHAnsi"/>
        </w:rPr>
        <w:t>sintetiza bem esse processo.</w:t>
      </w:r>
    </w:p>
    <w:p w14:paraId="2679A853" w14:textId="243B318D" w:rsidR="00657D8F" w:rsidRDefault="00657D8F" w:rsidP="00EA63CA">
      <w:pPr>
        <w:spacing w:before="120" w:after="240" w:line="360" w:lineRule="auto"/>
        <w:jc w:val="both"/>
        <w:rPr>
          <w:noProof/>
          <w:lang w:eastAsia="pt-BR"/>
        </w:rPr>
      </w:pPr>
      <w:r>
        <w:rPr>
          <w:rFonts w:asciiTheme="majorHAnsi" w:hAnsiTheme="majorHAnsi" w:cstheme="majorHAnsi"/>
        </w:rPr>
        <w:t>Observe:</w:t>
      </w:r>
    </w:p>
    <w:p w14:paraId="0234F078" w14:textId="577ADFE6" w:rsidR="00E37DDB" w:rsidRPr="00E37DDB" w:rsidRDefault="00C86AE2" w:rsidP="00657D8F">
      <w:pPr>
        <w:spacing w:before="120" w:after="240" w:line="360" w:lineRule="auto"/>
        <w:jc w:val="center"/>
        <w:rPr>
          <w:rFonts w:asciiTheme="majorHAnsi" w:hAnsiTheme="majorHAnsi" w:cstheme="majorHAnsi"/>
        </w:rPr>
      </w:pPr>
      <w:r w:rsidRPr="00C86AE2">
        <w:t xml:space="preserve"> </w:t>
      </w:r>
      <w:r>
        <w:rPr>
          <w:noProof/>
          <w:lang w:eastAsia="pt-BR"/>
        </w:rPr>
        <w:lastRenderedPageBreak/>
        <w:drawing>
          <wp:inline distT="0" distB="0" distL="0" distR="0" wp14:anchorId="6CA33B31" wp14:editId="5304E507">
            <wp:extent cx="6008914" cy="4606815"/>
            <wp:effectExtent l="0" t="0" r="0" b="3810"/>
            <wp:docPr id="20" name="Imagem 20" descr="https://entib.org.br/entib/imagens/FAML_M1_A04_1.8_processoNorma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tib.org.br/entib/imagens/FAML_M1_A04_1.8_processoNormaliz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5305" cy="4611715"/>
                    </a:xfrm>
                    <a:prstGeom prst="rect">
                      <a:avLst/>
                    </a:prstGeom>
                    <a:noFill/>
                    <a:ln>
                      <a:noFill/>
                    </a:ln>
                  </pic:spPr>
                </pic:pic>
              </a:graphicData>
            </a:graphic>
          </wp:inline>
        </w:drawing>
      </w:r>
    </w:p>
    <w:p w14:paraId="3C2A3AAA" w14:textId="3C23A41D" w:rsidR="00657D8F" w:rsidRDefault="00657D8F" w:rsidP="00EA63CA">
      <w:pPr>
        <w:spacing w:before="120" w:after="240" w:line="360" w:lineRule="auto"/>
        <w:jc w:val="both"/>
        <w:rPr>
          <w:rFonts w:asciiTheme="majorHAnsi" w:hAnsiTheme="majorHAnsi" w:cstheme="majorHAnsi"/>
          <w:b/>
        </w:rPr>
      </w:pPr>
      <w:r>
        <w:rPr>
          <w:rFonts w:asciiTheme="majorHAnsi" w:hAnsiTheme="majorHAnsi" w:cstheme="majorHAnsi"/>
          <w:b/>
        </w:rPr>
        <w:t>Agora vamos falar um pouco mais sobre cada uma destas etapas:</w:t>
      </w:r>
    </w:p>
    <w:p w14:paraId="586FDF68" w14:textId="77777777" w:rsidR="00E37DDB" w:rsidRPr="00C86AE2" w:rsidRDefault="00E37DDB" w:rsidP="00EA63CA">
      <w:pPr>
        <w:spacing w:before="120" w:after="240" w:line="360" w:lineRule="auto"/>
        <w:jc w:val="both"/>
        <w:rPr>
          <w:rFonts w:asciiTheme="majorHAnsi" w:hAnsiTheme="majorHAnsi" w:cstheme="majorHAnsi"/>
          <w:b/>
          <w:color w:val="0066B2"/>
        </w:rPr>
      </w:pPr>
      <w:r w:rsidRPr="00C86AE2">
        <w:rPr>
          <w:rFonts w:asciiTheme="majorHAnsi" w:hAnsiTheme="majorHAnsi" w:cstheme="majorHAnsi"/>
          <w:b/>
          <w:color w:val="0066B2"/>
        </w:rPr>
        <w:t>Planejamento</w:t>
      </w:r>
    </w:p>
    <w:p w14:paraId="56DA82CE" w14:textId="77777777" w:rsidR="00E37DDB" w:rsidRPr="00E37DDB"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t>No planejamento, decide-se que normas serão desenvolvidas, incluindo a qualificação e a identificação das demandas, a caracterização dos temas a serem abordados, as prioridades e um plano de normalização. Essa etapa é fundamental, pois assegura o desenvolvimento das normas necessárias à sociedade</w:t>
      </w:r>
    </w:p>
    <w:p w14:paraId="79024718" w14:textId="77777777" w:rsidR="00E37DDB" w:rsidRPr="00C86AE2" w:rsidRDefault="00E37DDB" w:rsidP="00EA63CA">
      <w:pPr>
        <w:spacing w:before="120" w:after="240" w:line="360" w:lineRule="auto"/>
        <w:jc w:val="both"/>
        <w:rPr>
          <w:rFonts w:asciiTheme="majorHAnsi" w:hAnsiTheme="majorHAnsi" w:cstheme="majorHAnsi"/>
          <w:b/>
          <w:color w:val="0066B2"/>
        </w:rPr>
      </w:pPr>
      <w:r w:rsidRPr="00C86AE2">
        <w:rPr>
          <w:rFonts w:asciiTheme="majorHAnsi" w:hAnsiTheme="majorHAnsi" w:cstheme="majorHAnsi"/>
          <w:b/>
          <w:color w:val="0066B2"/>
        </w:rPr>
        <w:t>Elaboração</w:t>
      </w:r>
    </w:p>
    <w:p w14:paraId="3E668B23" w14:textId="5D090B52" w:rsidR="00E37DDB" w:rsidRPr="00E37DDB"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t xml:space="preserve"> A elaboração é considerada uma etapa crítica devido à necessidade de alta qualidade dos</w:t>
      </w:r>
      <w:r>
        <w:rPr>
          <w:rFonts w:asciiTheme="majorHAnsi" w:hAnsiTheme="majorHAnsi" w:cstheme="majorHAnsi"/>
        </w:rPr>
        <w:t xml:space="preserve"> </w:t>
      </w:r>
      <w:r w:rsidRPr="00E37DDB">
        <w:rPr>
          <w:rFonts w:asciiTheme="majorHAnsi" w:hAnsiTheme="majorHAnsi" w:cstheme="majorHAnsi"/>
        </w:rPr>
        <w:t>textos normativos. A elaboração de uma norma é feita de f</w:t>
      </w:r>
      <w:r>
        <w:rPr>
          <w:rFonts w:asciiTheme="majorHAnsi" w:hAnsiTheme="majorHAnsi" w:cstheme="majorHAnsi"/>
        </w:rPr>
        <w:t>orma aberta, transparente e im</w:t>
      </w:r>
      <w:r w:rsidRPr="00E37DDB">
        <w:rPr>
          <w:rFonts w:asciiTheme="majorHAnsi" w:hAnsiTheme="majorHAnsi" w:cstheme="majorHAnsi"/>
        </w:rPr>
        <w:t>parcial. Com isso, a sociedade pode influenciar no desenvolvimento de uma norma, sempre respeitando os interesses de todas as partes envolvidas (consenso). A elaboração de uma norma pressupõe a participação do setor produtivo, dos co</w:t>
      </w:r>
      <w:r>
        <w:rPr>
          <w:rFonts w:asciiTheme="majorHAnsi" w:hAnsiTheme="majorHAnsi" w:cstheme="majorHAnsi"/>
        </w:rPr>
        <w:t>nsumidores e dos neutros. O en</w:t>
      </w:r>
      <w:r w:rsidRPr="00E37DDB">
        <w:rPr>
          <w:rFonts w:asciiTheme="majorHAnsi" w:hAnsiTheme="majorHAnsi" w:cstheme="majorHAnsi"/>
        </w:rPr>
        <w:t>volvimento das partes na etapa de desenvolvimento dos projetos de norma deve assegurar que esta:</w:t>
      </w:r>
    </w:p>
    <w:p w14:paraId="06CBE6C1" w14:textId="77777777" w:rsidR="00E37DDB" w:rsidRPr="00E37DDB" w:rsidRDefault="00E37DDB" w:rsidP="0082206E">
      <w:pPr>
        <w:tabs>
          <w:tab w:val="left" w:pos="426"/>
        </w:tabs>
        <w:spacing w:before="120" w:after="240" w:line="360" w:lineRule="auto"/>
        <w:jc w:val="both"/>
        <w:rPr>
          <w:rFonts w:asciiTheme="majorHAnsi" w:hAnsiTheme="majorHAnsi" w:cstheme="majorHAnsi"/>
        </w:rPr>
      </w:pPr>
      <w:r w:rsidRPr="00E37DDB">
        <w:rPr>
          <w:rFonts w:asciiTheme="majorHAnsi" w:hAnsiTheme="majorHAnsi" w:cstheme="majorHAnsi"/>
        </w:rPr>
        <w:lastRenderedPageBreak/>
        <w:t>●</w:t>
      </w:r>
      <w:r w:rsidRPr="00E37DDB">
        <w:rPr>
          <w:rFonts w:asciiTheme="majorHAnsi" w:hAnsiTheme="majorHAnsi" w:cstheme="majorHAnsi"/>
        </w:rPr>
        <w:tab/>
        <w:t>atenda às necessidades identificadas na fase de planejamento;</w:t>
      </w:r>
    </w:p>
    <w:p w14:paraId="57603B13" w14:textId="230E27FC" w:rsidR="00E37DDB" w:rsidRPr="00E37DDB" w:rsidRDefault="00E37DDB" w:rsidP="0082206E">
      <w:pPr>
        <w:tabs>
          <w:tab w:val="left" w:pos="426"/>
        </w:tabs>
        <w:spacing w:before="120" w:after="240" w:line="360" w:lineRule="auto"/>
        <w:jc w:val="both"/>
        <w:rPr>
          <w:rFonts w:asciiTheme="majorHAnsi" w:hAnsiTheme="majorHAnsi" w:cstheme="majorHAnsi"/>
        </w:rPr>
      </w:pPr>
      <w:r w:rsidRPr="00E37DDB">
        <w:rPr>
          <w:rFonts w:asciiTheme="majorHAnsi" w:hAnsiTheme="majorHAnsi" w:cstheme="majorHAnsi"/>
        </w:rPr>
        <w:t>●</w:t>
      </w:r>
      <w:r w:rsidRPr="00E37DDB">
        <w:rPr>
          <w:rFonts w:asciiTheme="majorHAnsi" w:hAnsiTheme="majorHAnsi" w:cstheme="majorHAnsi"/>
        </w:rPr>
        <w:tab/>
        <w:t>apresente</w:t>
      </w:r>
      <w:r>
        <w:rPr>
          <w:rFonts w:asciiTheme="majorHAnsi" w:hAnsiTheme="majorHAnsi" w:cstheme="majorHAnsi"/>
        </w:rPr>
        <w:t xml:space="preserve"> </w:t>
      </w:r>
      <w:r w:rsidRPr="00E37DDB">
        <w:rPr>
          <w:rFonts w:asciiTheme="majorHAnsi" w:hAnsiTheme="majorHAnsi" w:cstheme="majorHAnsi"/>
        </w:rPr>
        <w:t>soluções</w:t>
      </w:r>
      <w:r>
        <w:rPr>
          <w:rFonts w:asciiTheme="majorHAnsi" w:hAnsiTheme="majorHAnsi" w:cstheme="majorHAnsi"/>
        </w:rPr>
        <w:t xml:space="preserve"> </w:t>
      </w:r>
      <w:r w:rsidRPr="00E37DDB">
        <w:rPr>
          <w:rFonts w:asciiTheme="majorHAnsi" w:hAnsiTheme="majorHAnsi" w:cstheme="majorHAnsi"/>
        </w:rPr>
        <w:t>aceitáveis</w:t>
      </w:r>
      <w:r>
        <w:rPr>
          <w:rFonts w:asciiTheme="majorHAnsi" w:hAnsiTheme="majorHAnsi" w:cstheme="majorHAnsi"/>
        </w:rPr>
        <w:t xml:space="preserve"> </w:t>
      </w:r>
      <w:r w:rsidRPr="00E37DDB">
        <w:rPr>
          <w:rFonts w:asciiTheme="majorHAnsi" w:hAnsiTheme="majorHAnsi" w:cstheme="majorHAnsi"/>
        </w:rPr>
        <w:t>para</w:t>
      </w:r>
      <w:r>
        <w:rPr>
          <w:rFonts w:asciiTheme="majorHAnsi" w:hAnsiTheme="majorHAnsi" w:cstheme="majorHAnsi"/>
        </w:rPr>
        <w:t xml:space="preserve"> </w:t>
      </w:r>
      <w:r w:rsidRPr="00E37DDB">
        <w:rPr>
          <w:rFonts w:asciiTheme="majorHAnsi" w:hAnsiTheme="majorHAnsi" w:cstheme="majorHAnsi"/>
        </w:rPr>
        <w:t>as</w:t>
      </w:r>
      <w:r>
        <w:rPr>
          <w:rFonts w:asciiTheme="majorHAnsi" w:hAnsiTheme="majorHAnsi" w:cstheme="majorHAnsi"/>
        </w:rPr>
        <w:t xml:space="preserve"> </w:t>
      </w:r>
      <w:r w:rsidRPr="00E37DDB">
        <w:rPr>
          <w:rFonts w:asciiTheme="majorHAnsi" w:hAnsiTheme="majorHAnsi" w:cstheme="majorHAnsi"/>
        </w:rPr>
        <w:t>partes</w:t>
      </w:r>
      <w:r>
        <w:rPr>
          <w:rFonts w:asciiTheme="majorHAnsi" w:hAnsiTheme="majorHAnsi" w:cstheme="majorHAnsi"/>
        </w:rPr>
        <w:t xml:space="preserve"> </w:t>
      </w:r>
      <w:r w:rsidRPr="00E37DDB">
        <w:rPr>
          <w:rFonts w:asciiTheme="majorHAnsi" w:hAnsiTheme="majorHAnsi" w:cstheme="majorHAnsi"/>
        </w:rPr>
        <w:t>interessadas</w:t>
      </w:r>
      <w:r>
        <w:rPr>
          <w:rFonts w:asciiTheme="majorHAnsi" w:hAnsiTheme="majorHAnsi" w:cstheme="majorHAnsi"/>
        </w:rPr>
        <w:t xml:space="preserve"> </w:t>
      </w:r>
      <w:r w:rsidRPr="00E37DDB">
        <w:rPr>
          <w:rFonts w:asciiTheme="majorHAnsi" w:hAnsiTheme="majorHAnsi" w:cstheme="majorHAnsi"/>
        </w:rPr>
        <w:t>sem</w:t>
      </w:r>
      <w:r>
        <w:rPr>
          <w:rFonts w:asciiTheme="majorHAnsi" w:hAnsiTheme="majorHAnsi" w:cstheme="majorHAnsi"/>
        </w:rPr>
        <w:t xml:space="preserve"> </w:t>
      </w:r>
      <w:r w:rsidRPr="00E37DDB">
        <w:rPr>
          <w:rFonts w:asciiTheme="majorHAnsi" w:hAnsiTheme="majorHAnsi" w:cstheme="majorHAnsi"/>
        </w:rPr>
        <w:t>criar distorções</w:t>
      </w:r>
      <w:r>
        <w:rPr>
          <w:rFonts w:asciiTheme="majorHAnsi" w:hAnsiTheme="majorHAnsi" w:cstheme="majorHAnsi"/>
        </w:rPr>
        <w:t xml:space="preserve"> </w:t>
      </w:r>
      <w:r w:rsidRPr="00E37DDB">
        <w:rPr>
          <w:rFonts w:asciiTheme="majorHAnsi" w:hAnsiTheme="majorHAnsi" w:cstheme="majorHAnsi"/>
        </w:rPr>
        <w:t>desnecessárias no mercado nem privilegiar nenhum interesse em particular em detrimento de outros;</w:t>
      </w:r>
    </w:p>
    <w:p w14:paraId="21C73440" w14:textId="77777777" w:rsidR="00E37DDB" w:rsidRPr="00E37DDB" w:rsidRDefault="00E37DDB" w:rsidP="0082206E">
      <w:pPr>
        <w:tabs>
          <w:tab w:val="left" w:pos="426"/>
        </w:tabs>
        <w:spacing w:before="120" w:after="240" w:line="360" w:lineRule="auto"/>
        <w:jc w:val="both"/>
        <w:rPr>
          <w:rFonts w:asciiTheme="majorHAnsi" w:hAnsiTheme="majorHAnsi" w:cstheme="majorHAnsi"/>
        </w:rPr>
      </w:pPr>
      <w:r w:rsidRPr="00E37DDB">
        <w:rPr>
          <w:rFonts w:asciiTheme="majorHAnsi" w:hAnsiTheme="majorHAnsi" w:cstheme="majorHAnsi"/>
        </w:rPr>
        <w:t>●</w:t>
      </w:r>
      <w:r w:rsidRPr="00E37DDB">
        <w:rPr>
          <w:rFonts w:asciiTheme="majorHAnsi" w:hAnsiTheme="majorHAnsi" w:cstheme="majorHAnsi"/>
        </w:rPr>
        <w:tab/>
        <w:t>apresente soluções eficazes;</w:t>
      </w:r>
    </w:p>
    <w:p w14:paraId="722C47C0" w14:textId="77777777" w:rsidR="00E37DDB" w:rsidRPr="00E37DDB" w:rsidRDefault="00E37DDB" w:rsidP="0082206E">
      <w:pPr>
        <w:tabs>
          <w:tab w:val="left" w:pos="426"/>
        </w:tabs>
        <w:spacing w:before="120" w:after="240" w:line="360" w:lineRule="auto"/>
        <w:jc w:val="both"/>
        <w:rPr>
          <w:rFonts w:asciiTheme="majorHAnsi" w:hAnsiTheme="majorHAnsi" w:cstheme="majorHAnsi"/>
        </w:rPr>
      </w:pPr>
      <w:r w:rsidRPr="00E37DDB">
        <w:rPr>
          <w:rFonts w:asciiTheme="majorHAnsi" w:hAnsiTheme="majorHAnsi" w:cstheme="majorHAnsi"/>
        </w:rPr>
        <w:t>●</w:t>
      </w:r>
      <w:r w:rsidRPr="00E37DDB">
        <w:rPr>
          <w:rFonts w:asciiTheme="majorHAnsi" w:hAnsiTheme="majorHAnsi" w:cstheme="majorHAnsi"/>
        </w:rPr>
        <w:tab/>
        <w:t>constitua-se em uma base efetiva para o desenvolvimento tecnológico do setor;</w:t>
      </w:r>
    </w:p>
    <w:p w14:paraId="27C97C0D" w14:textId="77777777" w:rsidR="00E37DDB" w:rsidRPr="00E37DDB" w:rsidRDefault="00E37DDB" w:rsidP="0082206E">
      <w:pPr>
        <w:tabs>
          <w:tab w:val="left" w:pos="426"/>
        </w:tabs>
        <w:spacing w:before="120" w:after="240" w:line="360" w:lineRule="auto"/>
        <w:jc w:val="both"/>
        <w:rPr>
          <w:rFonts w:asciiTheme="majorHAnsi" w:hAnsiTheme="majorHAnsi" w:cstheme="majorHAnsi"/>
        </w:rPr>
      </w:pPr>
      <w:r w:rsidRPr="00E37DDB">
        <w:rPr>
          <w:rFonts w:asciiTheme="majorHAnsi" w:hAnsiTheme="majorHAnsi" w:cstheme="majorHAnsi"/>
        </w:rPr>
        <w:t>●</w:t>
      </w:r>
      <w:r w:rsidRPr="00E37DDB">
        <w:rPr>
          <w:rFonts w:asciiTheme="majorHAnsi" w:hAnsiTheme="majorHAnsi" w:cstheme="majorHAnsi"/>
        </w:rPr>
        <w:tab/>
        <w:t>seja considerada legítima e, portanto, com boa probabilidade de uso;</w:t>
      </w:r>
    </w:p>
    <w:p w14:paraId="77A8B664" w14:textId="77777777" w:rsidR="00E37DDB" w:rsidRPr="00E37DDB" w:rsidRDefault="00E37DDB" w:rsidP="0082206E">
      <w:pPr>
        <w:tabs>
          <w:tab w:val="left" w:pos="426"/>
        </w:tabs>
        <w:spacing w:before="120" w:after="240" w:line="360" w:lineRule="auto"/>
        <w:jc w:val="both"/>
        <w:rPr>
          <w:rFonts w:asciiTheme="majorHAnsi" w:hAnsiTheme="majorHAnsi" w:cstheme="majorHAnsi"/>
        </w:rPr>
      </w:pPr>
      <w:r w:rsidRPr="00E37DDB">
        <w:rPr>
          <w:rFonts w:asciiTheme="majorHAnsi" w:hAnsiTheme="majorHAnsi" w:cstheme="majorHAnsi"/>
        </w:rPr>
        <w:t>●</w:t>
      </w:r>
      <w:r w:rsidRPr="00E37DDB">
        <w:rPr>
          <w:rFonts w:asciiTheme="majorHAnsi" w:hAnsiTheme="majorHAnsi" w:cstheme="majorHAnsi"/>
        </w:rPr>
        <w:tab/>
        <w:t>adote uma solução técnica consistente, embasada cientificamente ou suportada pela experiência, e aceitável.</w:t>
      </w:r>
    </w:p>
    <w:p w14:paraId="5E8B755E" w14:textId="77777777" w:rsidR="00E37DDB" w:rsidRPr="00E37DDB" w:rsidRDefault="00E37DDB" w:rsidP="00EA63CA">
      <w:pPr>
        <w:spacing w:before="120" w:after="240" w:line="360" w:lineRule="auto"/>
        <w:jc w:val="both"/>
        <w:rPr>
          <w:rFonts w:asciiTheme="majorHAnsi" w:hAnsiTheme="majorHAnsi" w:cstheme="majorHAnsi"/>
          <w:b/>
        </w:rPr>
      </w:pPr>
      <w:r w:rsidRPr="00E37DDB">
        <w:rPr>
          <w:rFonts w:asciiTheme="majorHAnsi" w:hAnsiTheme="majorHAnsi" w:cstheme="majorHAnsi"/>
          <w:b/>
        </w:rPr>
        <w:t>Aprovação</w:t>
      </w:r>
    </w:p>
    <w:p w14:paraId="2722727D" w14:textId="6F95927B" w:rsidR="00E37DDB" w:rsidRPr="00E37DDB"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t>A aprovação assegura que a norma resolva o problema proposto, p</w:t>
      </w:r>
      <w:r w:rsidR="00812B7B">
        <w:rPr>
          <w:rFonts w:asciiTheme="majorHAnsi" w:hAnsiTheme="majorHAnsi" w:cstheme="majorHAnsi"/>
        </w:rPr>
        <w:t>or meio de uma con</w:t>
      </w:r>
      <w:r w:rsidRPr="00E37DDB">
        <w:rPr>
          <w:rFonts w:asciiTheme="majorHAnsi" w:hAnsiTheme="majorHAnsi" w:cstheme="majorHAnsi"/>
        </w:rPr>
        <w:t>sulta pública nacional ampla, levando em conta as necessidades das partes interessadas.</w:t>
      </w:r>
    </w:p>
    <w:p w14:paraId="6A59F43E" w14:textId="3F042B52" w:rsidR="00E37DDB" w:rsidRPr="00E37DDB" w:rsidRDefault="00E37DDB" w:rsidP="00EA63CA">
      <w:pPr>
        <w:spacing w:before="120" w:after="240" w:line="360" w:lineRule="auto"/>
        <w:jc w:val="both"/>
        <w:rPr>
          <w:rFonts w:asciiTheme="majorHAnsi" w:hAnsiTheme="majorHAnsi" w:cstheme="majorHAnsi"/>
          <w:b/>
        </w:rPr>
      </w:pPr>
      <w:r w:rsidRPr="00E37DDB">
        <w:rPr>
          <w:rFonts w:asciiTheme="majorHAnsi" w:hAnsiTheme="majorHAnsi" w:cstheme="majorHAnsi"/>
          <w:b/>
        </w:rPr>
        <w:t>Publicação</w:t>
      </w:r>
    </w:p>
    <w:p w14:paraId="2F0945B1" w14:textId="3E5BC6D3" w:rsidR="00E37DDB"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t>A publicação é a etapa final do processo, na qual se publica a norma.</w:t>
      </w:r>
    </w:p>
    <w:p w14:paraId="4EA324D6" w14:textId="0A35720E" w:rsidR="00E37DDB" w:rsidRPr="00E37DDB" w:rsidRDefault="00C86AE2" w:rsidP="001F4EDA">
      <w:pPr>
        <w:pStyle w:val="Ttulo1"/>
        <w:numPr>
          <w:ilvl w:val="0"/>
          <w:numId w:val="13"/>
        </w:numPr>
        <w:tabs>
          <w:tab w:val="left" w:pos="426"/>
        </w:tabs>
        <w:spacing w:before="0" w:line="360" w:lineRule="auto"/>
        <w:ind w:left="0" w:hanging="11"/>
        <w:jc w:val="both"/>
      </w:pPr>
      <w:bookmarkStart w:id="13" w:name="_Toc26001158"/>
      <w:r>
        <w:rPr>
          <w:noProof/>
          <w:lang w:eastAsia="pt-BR"/>
        </w:rPr>
        <w:drawing>
          <wp:anchor distT="0" distB="0" distL="114300" distR="114300" simplePos="0" relativeHeight="251668992" behindDoc="0" locked="0" layoutInCell="1" allowOverlap="1" wp14:anchorId="4E8D8BD9" wp14:editId="6094BE35">
            <wp:simplePos x="0" y="0"/>
            <wp:positionH relativeFrom="margin">
              <wp:align>left</wp:align>
            </wp:positionH>
            <wp:positionV relativeFrom="paragraph">
              <wp:posOffset>445135</wp:posOffset>
            </wp:positionV>
            <wp:extent cx="3080385" cy="1750695"/>
            <wp:effectExtent l="0" t="0" r="5715" b="1905"/>
            <wp:wrapSquare wrapText="bothSides"/>
            <wp:docPr id="21" name="Imagem 21" descr="https://entib.org.br/entib/imagens/FAML_M1_A04_2_cari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tib.org.br/entib/imagens/FAML_M1_A04_2_carimb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0385"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DDB" w:rsidRPr="001F4EDA">
        <w:rPr>
          <w:rFonts w:cstheme="majorHAnsi"/>
        </w:rPr>
        <w:t>Regulamentação</w:t>
      </w:r>
      <w:bookmarkEnd w:id="13"/>
    </w:p>
    <w:p w14:paraId="128BA04D" w14:textId="4346B25D" w:rsidR="00E37DDB" w:rsidRPr="00E37DDB"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t xml:space="preserve">A regulamentação é o meio pelo qual os </w:t>
      </w:r>
      <w:r w:rsidRPr="001F4EDA">
        <w:rPr>
          <w:rFonts w:asciiTheme="majorHAnsi" w:hAnsiTheme="majorHAnsi" w:cstheme="majorHAnsi"/>
          <w:u w:val="single"/>
        </w:rPr>
        <w:t>governos es</w:t>
      </w:r>
      <w:r w:rsidR="00AE72E9" w:rsidRPr="001F4EDA">
        <w:rPr>
          <w:rFonts w:asciiTheme="majorHAnsi" w:hAnsiTheme="majorHAnsi" w:cstheme="majorHAnsi"/>
          <w:u w:val="single"/>
        </w:rPr>
        <w:t>tabelecem os requisitos de cum</w:t>
      </w:r>
      <w:r w:rsidRPr="001F4EDA">
        <w:rPr>
          <w:rFonts w:asciiTheme="majorHAnsi" w:hAnsiTheme="majorHAnsi" w:cstheme="majorHAnsi"/>
          <w:u w:val="single"/>
        </w:rPr>
        <w:t>primento obrigatório</w:t>
      </w:r>
      <w:r w:rsidRPr="00E37DDB">
        <w:rPr>
          <w:rFonts w:asciiTheme="majorHAnsi" w:hAnsiTheme="majorHAnsi" w:cstheme="majorHAnsi"/>
        </w:rPr>
        <w:t xml:space="preserve"> relacionados, principalmente, à </w:t>
      </w:r>
      <w:r w:rsidR="00AE72E9">
        <w:rPr>
          <w:rFonts w:asciiTheme="majorHAnsi" w:hAnsiTheme="majorHAnsi" w:cstheme="majorHAnsi"/>
        </w:rPr>
        <w:t>saúde, à segurança, ao meio am</w:t>
      </w:r>
      <w:r w:rsidRPr="00E37DDB">
        <w:rPr>
          <w:rFonts w:asciiTheme="majorHAnsi" w:hAnsiTheme="majorHAnsi" w:cstheme="majorHAnsi"/>
        </w:rPr>
        <w:t>biente, à proteção do consumidor e à prevenção de práticas enganosas no comércio.</w:t>
      </w:r>
      <w:r>
        <w:rPr>
          <w:rFonts w:asciiTheme="majorHAnsi" w:hAnsiTheme="majorHAnsi" w:cstheme="majorHAnsi"/>
        </w:rPr>
        <w:t xml:space="preserve"> </w:t>
      </w:r>
    </w:p>
    <w:p w14:paraId="1191544F" w14:textId="77777777" w:rsidR="00E37DDB" w:rsidRPr="00E37DDB"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t>A regulamentação é uma prerrogativa de Estado prevista em lei.</w:t>
      </w:r>
    </w:p>
    <w:p w14:paraId="1670AE1D" w14:textId="596E6A9A" w:rsidR="00E37DDB" w:rsidRPr="00E37DDB"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t>O Brasil tem diversas autoridades regulamentadoras federais, que emitem regulamentos técnicos em suas respectivas áreas de atuação. O Ministério da Saúde, o Ministério do Trabalho e Emprego, o Inmetro, a Agência Nacional de Petróleo e Gás (ANP) e a Agência Nacional de Á</w:t>
      </w:r>
      <w:r w:rsidR="0082206E">
        <w:rPr>
          <w:rFonts w:asciiTheme="majorHAnsi" w:hAnsiTheme="majorHAnsi" w:cstheme="majorHAnsi"/>
        </w:rPr>
        <w:t>guas (ANA) são alguns exemplos.</w:t>
      </w:r>
    </w:p>
    <w:p w14:paraId="17FE09E3" w14:textId="54E75528" w:rsidR="00E37DDB" w:rsidRPr="00E37DDB"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lastRenderedPageBreak/>
        <w:t>De acordo com a legislação, o Inmetro regulamenta co</w:t>
      </w:r>
      <w:r w:rsidR="00812B7B">
        <w:rPr>
          <w:rFonts w:asciiTheme="majorHAnsi" w:hAnsiTheme="majorHAnsi" w:cstheme="majorHAnsi"/>
        </w:rPr>
        <w:t>m exclusividade a atividade me</w:t>
      </w:r>
      <w:r w:rsidRPr="00E37DDB">
        <w:rPr>
          <w:rFonts w:asciiTheme="majorHAnsi" w:hAnsiTheme="majorHAnsi" w:cstheme="majorHAnsi"/>
        </w:rPr>
        <w:t>trológica no país, com foco nos produtos pré-</w:t>
      </w:r>
      <w:r w:rsidR="004D0752">
        <w:rPr>
          <w:rFonts w:asciiTheme="majorHAnsi" w:hAnsiTheme="majorHAnsi" w:cstheme="majorHAnsi"/>
        </w:rPr>
        <w:t xml:space="preserve">medidos </w:t>
      </w:r>
      <w:r w:rsidR="0082206E">
        <w:rPr>
          <w:rFonts w:asciiTheme="majorHAnsi" w:hAnsiTheme="majorHAnsi" w:cstheme="majorHAnsi"/>
        </w:rPr>
        <w:t>e nos instrumentos de medi</w:t>
      </w:r>
      <w:r w:rsidR="004D0752">
        <w:rPr>
          <w:rFonts w:asciiTheme="majorHAnsi" w:hAnsiTheme="majorHAnsi" w:cstheme="majorHAnsi"/>
        </w:rPr>
        <w:t>ção</w:t>
      </w:r>
      <w:r w:rsidR="0082206E">
        <w:rPr>
          <w:rFonts w:asciiTheme="majorHAnsi" w:hAnsiTheme="majorHAnsi" w:cstheme="majorHAnsi"/>
        </w:rPr>
        <w:t>.</w:t>
      </w:r>
    </w:p>
    <w:p w14:paraId="05BAEC3A" w14:textId="7F3708FC" w:rsidR="00E37DDB" w:rsidRPr="00E37DDB"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t>No que diz respeito à proteção da saúde e da segurança do consumidor e do meio ambiente e ao combate às práticas enganosas de comércio, o Inmetro pode expedir regulamentos técnicos e implantar programas de aval</w:t>
      </w:r>
      <w:r w:rsidR="00812B7B">
        <w:rPr>
          <w:rFonts w:asciiTheme="majorHAnsi" w:hAnsiTheme="majorHAnsi" w:cstheme="majorHAnsi"/>
        </w:rPr>
        <w:t>iação da conformidade para pro</w:t>
      </w:r>
      <w:r w:rsidRPr="00E37DDB">
        <w:rPr>
          <w:rFonts w:asciiTheme="majorHAnsi" w:hAnsiTheme="majorHAnsi" w:cstheme="majorHAnsi"/>
        </w:rPr>
        <w:t>dutos, processos e serviços em caráter suplementar, ou seja, nas áreas onde não houver um regulamentador federal competente. O Inmetro também pode implantar programas de avaliação da conformidade em áreas regulamentadas desde que lhe seja delegada tal c</w:t>
      </w:r>
      <w:r w:rsidR="0082206E">
        <w:rPr>
          <w:rFonts w:asciiTheme="majorHAnsi" w:hAnsiTheme="majorHAnsi" w:cstheme="majorHAnsi"/>
        </w:rPr>
        <w:t>ompetência pelo regulamentador.</w:t>
      </w:r>
    </w:p>
    <w:p w14:paraId="237EA742" w14:textId="2D9B1A9D" w:rsidR="00E37DDB" w:rsidRDefault="00E37DDB" w:rsidP="00EA63CA">
      <w:pPr>
        <w:spacing w:before="120" w:after="240" w:line="360" w:lineRule="auto"/>
        <w:jc w:val="both"/>
        <w:rPr>
          <w:rFonts w:asciiTheme="majorHAnsi" w:hAnsiTheme="majorHAnsi" w:cstheme="majorHAnsi"/>
        </w:rPr>
      </w:pPr>
      <w:r w:rsidRPr="00E37DDB">
        <w:rPr>
          <w:rFonts w:asciiTheme="majorHAnsi" w:hAnsiTheme="majorHAnsi" w:cstheme="majorHAnsi"/>
        </w:rPr>
        <w:t>Confira</w:t>
      </w:r>
      <w:r w:rsidR="00AB3531">
        <w:rPr>
          <w:rFonts w:asciiTheme="majorHAnsi" w:hAnsiTheme="majorHAnsi" w:cstheme="majorHAnsi"/>
        </w:rPr>
        <w:t>, no link a seguir,</w:t>
      </w:r>
      <w:r w:rsidRPr="00E37DDB">
        <w:rPr>
          <w:rFonts w:asciiTheme="majorHAnsi" w:hAnsiTheme="majorHAnsi" w:cstheme="majorHAnsi"/>
        </w:rPr>
        <w:t xml:space="preserve"> alguns exemplos de regulamentos técnicos publ</w:t>
      </w:r>
      <w:r w:rsidR="00812B7B">
        <w:rPr>
          <w:rFonts w:asciiTheme="majorHAnsi" w:hAnsiTheme="majorHAnsi" w:cstheme="majorHAnsi"/>
        </w:rPr>
        <w:t>icados pelos Inmetro, cujo cum</w:t>
      </w:r>
      <w:r w:rsidRPr="00E37DDB">
        <w:rPr>
          <w:rFonts w:asciiTheme="majorHAnsi" w:hAnsiTheme="majorHAnsi" w:cstheme="majorHAnsi"/>
        </w:rPr>
        <w:t>primento implica a realização de ações de acompanhamento no mercado pela Rede Brasileira de Metrologia Legal e Qualidade (RBMLQ-I).</w:t>
      </w:r>
    </w:p>
    <w:p w14:paraId="3906A105" w14:textId="2B6471D5" w:rsidR="00057063" w:rsidRPr="00767875" w:rsidRDefault="003E12E5" w:rsidP="00EA63CA">
      <w:pPr>
        <w:spacing w:before="120" w:after="240" w:line="360" w:lineRule="auto"/>
        <w:jc w:val="both"/>
        <w:rPr>
          <w:rFonts w:asciiTheme="majorHAnsi" w:hAnsiTheme="majorHAnsi" w:cstheme="majorHAnsi"/>
        </w:rPr>
      </w:pPr>
      <w:r>
        <w:rPr>
          <w:rFonts w:asciiTheme="majorHAnsi" w:hAnsiTheme="majorHAnsi" w:cstheme="majorHAnsi"/>
          <w:noProof/>
          <w:lang w:eastAsia="pt-BR"/>
        </w:rPr>
        <w:drawing>
          <wp:inline distT="0" distB="0" distL="0" distR="0" wp14:anchorId="5FA7D3A1" wp14:editId="5C5BF349">
            <wp:extent cx="5573395" cy="348615"/>
            <wp:effectExtent l="0" t="0" r="825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3395" cy="348615"/>
                    </a:xfrm>
                    <a:prstGeom prst="rect">
                      <a:avLst/>
                    </a:prstGeom>
                    <a:noFill/>
                    <a:ln>
                      <a:noFill/>
                    </a:ln>
                  </pic:spPr>
                </pic:pic>
              </a:graphicData>
            </a:graphic>
          </wp:inline>
        </w:drawing>
      </w:r>
    </w:p>
    <w:p w14:paraId="121AA483" w14:textId="704EEB48" w:rsidR="00767875" w:rsidRPr="00767875" w:rsidRDefault="00767875" w:rsidP="001F4EDA">
      <w:pPr>
        <w:pStyle w:val="Ttulo2"/>
        <w:numPr>
          <w:ilvl w:val="1"/>
          <w:numId w:val="13"/>
        </w:numPr>
        <w:tabs>
          <w:tab w:val="left" w:pos="567"/>
        </w:tabs>
        <w:spacing w:before="120" w:beforeAutospacing="0" w:after="240" w:afterAutospacing="0" w:line="360" w:lineRule="auto"/>
        <w:ind w:left="0" w:firstLine="0"/>
      </w:pPr>
      <w:bookmarkStart w:id="14" w:name="_Toc26001159"/>
      <w:r w:rsidRPr="00767875">
        <w:t>Entendendo a diferença entre regulação e regulamentação</w:t>
      </w:r>
      <w:bookmarkEnd w:id="14"/>
    </w:p>
    <w:p w14:paraId="4ADA8512" w14:textId="5F1E3D86" w:rsidR="00767875" w:rsidRPr="001F4EDA" w:rsidRDefault="003E12E5" w:rsidP="00EA63CA">
      <w:pPr>
        <w:spacing w:before="120" w:after="240" w:line="360" w:lineRule="auto"/>
        <w:jc w:val="both"/>
        <w:rPr>
          <w:rFonts w:asciiTheme="majorHAnsi" w:hAnsiTheme="majorHAnsi" w:cstheme="majorHAnsi"/>
          <w:u w:val="single"/>
        </w:rPr>
      </w:pPr>
      <w:r>
        <w:rPr>
          <w:noProof/>
          <w:lang w:eastAsia="pt-BR"/>
        </w:rPr>
        <w:drawing>
          <wp:anchor distT="0" distB="0" distL="114300" distR="114300" simplePos="0" relativeHeight="251670016" behindDoc="0" locked="0" layoutInCell="1" allowOverlap="1" wp14:anchorId="50B213DD" wp14:editId="4E4D01B8">
            <wp:simplePos x="0" y="0"/>
            <wp:positionH relativeFrom="column">
              <wp:posOffset>-2449</wp:posOffset>
            </wp:positionH>
            <wp:positionV relativeFrom="paragraph">
              <wp:posOffset>-4082</wp:posOffset>
            </wp:positionV>
            <wp:extent cx="2863215" cy="1905000"/>
            <wp:effectExtent l="0" t="0" r="0" b="0"/>
            <wp:wrapSquare wrapText="bothSides"/>
            <wp:docPr id="22" name="Imagem 22" descr="https://entib.org.br/entib/imagens/FAML_M1_A04_2.2_ver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tib.org.br/entib/imagens/FAML_M1_A04_2.2_versu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21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875" w:rsidRPr="00767875">
        <w:rPr>
          <w:rFonts w:asciiTheme="majorHAnsi" w:hAnsiTheme="majorHAnsi" w:cstheme="majorHAnsi"/>
        </w:rPr>
        <w:t>De acordo com o Guia de Boas Práticas de Regulaçã</w:t>
      </w:r>
      <w:r w:rsidR="00767875">
        <w:rPr>
          <w:rFonts w:asciiTheme="majorHAnsi" w:hAnsiTheme="majorHAnsi" w:cstheme="majorHAnsi"/>
        </w:rPr>
        <w:t>o, publicado pela Resolução Con</w:t>
      </w:r>
      <w:r w:rsidR="00767875" w:rsidRPr="00767875">
        <w:rPr>
          <w:rFonts w:asciiTheme="majorHAnsi" w:hAnsiTheme="majorHAnsi" w:cstheme="majorHAnsi"/>
        </w:rPr>
        <w:t xml:space="preserve">metro nº 5, de 18 de dezembro de 2007, </w:t>
      </w:r>
      <w:r w:rsidR="00767875" w:rsidRPr="001F4EDA">
        <w:rPr>
          <w:rFonts w:asciiTheme="majorHAnsi" w:hAnsiTheme="majorHAnsi" w:cstheme="majorHAnsi"/>
          <w:u w:val="single"/>
        </w:rPr>
        <w:t>regulação é a</w:t>
      </w:r>
      <w:r w:rsidR="00767875" w:rsidRPr="00767875">
        <w:rPr>
          <w:rFonts w:asciiTheme="majorHAnsi" w:hAnsiTheme="majorHAnsi" w:cstheme="majorHAnsi"/>
        </w:rPr>
        <w:t xml:space="preserve"> </w:t>
      </w:r>
      <w:r w:rsidR="00767875" w:rsidRPr="001F4EDA">
        <w:rPr>
          <w:rFonts w:asciiTheme="majorHAnsi" w:hAnsiTheme="majorHAnsi" w:cstheme="majorHAnsi"/>
          <w:u w:val="single"/>
        </w:rPr>
        <w:t>adoção de atos normativos por meio dos quais os órgãos governamentais estabelecem exigências que devem ser cumpridas pelos agentes econômicos e/ou cidadãos.</w:t>
      </w:r>
    </w:p>
    <w:p w14:paraId="0C0A6B0F" w14:textId="5307B1F1" w:rsidR="003E12E5" w:rsidRPr="003E12E5" w:rsidRDefault="00767875" w:rsidP="003E12E5">
      <w:pPr>
        <w:spacing w:before="120" w:after="240" w:line="360" w:lineRule="auto"/>
        <w:jc w:val="both"/>
        <w:rPr>
          <w:rFonts w:asciiTheme="majorHAnsi" w:hAnsiTheme="majorHAnsi" w:cstheme="majorHAnsi"/>
          <w:i/>
          <w:color w:val="0066B2"/>
          <w:sz w:val="20"/>
          <w:szCs w:val="20"/>
        </w:rPr>
      </w:pPr>
      <w:r w:rsidRPr="00767875">
        <w:rPr>
          <w:rFonts w:asciiTheme="majorHAnsi" w:hAnsiTheme="majorHAnsi" w:cstheme="majorHAnsi"/>
        </w:rPr>
        <w:t>A regulação inclui a legislação e outros instrumentos aplicados por autoridades</w:t>
      </w:r>
      <w:r w:rsidR="003E12E5">
        <w:rPr>
          <w:rFonts w:asciiTheme="majorHAnsi" w:hAnsiTheme="majorHAnsi" w:cstheme="majorHAnsi"/>
        </w:rPr>
        <w:t>*</w:t>
      </w:r>
      <w:r w:rsidRPr="00767875">
        <w:rPr>
          <w:rFonts w:asciiTheme="majorHAnsi" w:hAnsiTheme="majorHAnsi" w:cstheme="majorHAnsi"/>
        </w:rPr>
        <w:t xml:space="preserve"> com competência legal e é uma importante ferramenta </w:t>
      </w:r>
      <w:r>
        <w:rPr>
          <w:rFonts w:asciiTheme="majorHAnsi" w:hAnsiTheme="majorHAnsi" w:cstheme="majorHAnsi"/>
        </w:rPr>
        <w:t>para preservar e promover o in</w:t>
      </w:r>
      <w:r w:rsidRPr="00767875">
        <w:rPr>
          <w:rFonts w:asciiTheme="majorHAnsi" w:hAnsiTheme="majorHAnsi" w:cstheme="majorHAnsi"/>
        </w:rPr>
        <w:t xml:space="preserve">teresse público, cumprindo os objetivos legítimos do Estado relacionados a aspectos como saúde, segurança, concorrência justa, proteção do consumidor, do patrimônio e do meio ambiente. </w:t>
      </w:r>
      <w:r w:rsidRPr="001F4EDA">
        <w:rPr>
          <w:rFonts w:asciiTheme="majorHAnsi" w:hAnsiTheme="majorHAnsi" w:cstheme="majorHAnsi"/>
          <w:u w:val="single"/>
        </w:rPr>
        <w:t>É uma intervenção estatal no funcionamento da sociedade ou da economia e se dá quando sua ausência pode resultar em prejuízos ou danos, ou pode comprometer o a</w:t>
      </w:r>
      <w:r w:rsidR="0082206E" w:rsidRPr="001F4EDA">
        <w:rPr>
          <w:rFonts w:asciiTheme="majorHAnsi" w:hAnsiTheme="majorHAnsi" w:cstheme="majorHAnsi"/>
          <w:u w:val="single"/>
        </w:rPr>
        <w:t>lcance dos objetivos legítimos.</w:t>
      </w:r>
      <w:r w:rsidR="003E12E5" w:rsidRPr="003E12E5">
        <w:rPr>
          <w:rFonts w:asciiTheme="majorHAnsi" w:hAnsiTheme="majorHAnsi" w:cstheme="majorHAnsi"/>
          <w:i/>
          <w:color w:val="0066B2"/>
          <w:sz w:val="20"/>
          <w:szCs w:val="20"/>
        </w:rPr>
        <w:t>*</w:t>
      </w:r>
      <w:r w:rsidR="003E12E5" w:rsidRPr="003E12E5">
        <w:rPr>
          <w:b/>
          <w:i/>
          <w:color w:val="0066B2"/>
          <w:sz w:val="20"/>
          <w:szCs w:val="20"/>
        </w:rPr>
        <w:t xml:space="preserve"> Autoridade –</w:t>
      </w:r>
      <w:r w:rsidR="003E12E5" w:rsidRPr="003E12E5">
        <w:rPr>
          <w:i/>
          <w:color w:val="0066B2"/>
          <w:sz w:val="20"/>
          <w:szCs w:val="20"/>
        </w:rPr>
        <w:t xml:space="preserve"> Organismo que tem poderes e deveres legais. Pode ser local, regional ou nacional.</w:t>
      </w:r>
    </w:p>
    <w:p w14:paraId="1682BEED" w14:textId="77777777" w:rsidR="00767875" w:rsidRP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 xml:space="preserve">Assim, a regulação tem um objetivo definido: </w:t>
      </w:r>
      <w:r w:rsidRPr="001F4EDA">
        <w:rPr>
          <w:rFonts w:asciiTheme="majorHAnsi" w:hAnsiTheme="majorHAnsi" w:cstheme="majorHAnsi"/>
          <w:u w:val="single"/>
        </w:rPr>
        <w:t>evitar ou corrigir um problema</w:t>
      </w:r>
      <w:r w:rsidRPr="00767875">
        <w:rPr>
          <w:rFonts w:asciiTheme="majorHAnsi" w:hAnsiTheme="majorHAnsi" w:cstheme="majorHAnsi"/>
        </w:rPr>
        <w:t xml:space="preserve">. Para isso, o Estado pode recorrer a uma diversidade de ações, entre as quais o estabelecimento de regulamentos </w:t>
      </w:r>
      <w:r w:rsidRPr="00767875">
        <w:rPr>
          <w:rFonts w:asciiTheme="majorHAnsi" w:hAnsiTheme="majorHAnsi" w:cstheme="majorHAnsi"/>
        </w:rPr>
        <w:lastRenderedPageBreak/>
        <w:t>técnicos. Outras possibilidades são, por exemplo, os mecanismos de incentivo, de políticas contratuais, de responsabilização, os acordos ou mecanismos de reconhecimento mútuo ou o desenvolvimento de campanhas educativas.</w:t>
      </w:r>
    </w:p>
    <w:p w14:paraId="61CAAD6C" w14:textId="3F5B0F98" w:rsidR="00767875" w:rsidRP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É conveniente, portanto, que as autoridades avaliem previamente as alternativas de que dispõem para verificar se a regulamentação técnica é, de fato, o instrumento mais indicado para resolver ou prevenir o problema.</w:t>
      </w:r>
    </w:p>
    <w:p w14:paraId="4031FA18" w14:textId="74C770F6" w:rsidR="00767875" w:rsidRP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 xml:space="preserve">A regulamentação, por sua vez, envolve </w:t>
      </w:r>
      <w:r w:rsidRPr="001F4EDA">
        <w:rPr>
          <w:rFonts w:asciiTheme="majorHAnsi" w:hAnsiTheme="majorHAnsi" w:cstheme="majorHAnsi"/>
          <w:u w:val="single"/>
        </w:rPr>
        <w:t>regulamentos técnicos</w:t>
      </w:r>
      <w:r>
        <w:rPr>
          <w:rFonts w:asciiTheme="majorHAnsi" w:hAnsiTheme="majorHAnsi" w:cstheme="majorHAnsi"/>
        </w:rPr>
        <w:t xml:space="preserve">, que são </w:t>
      </w:r>
      <w:r w:rsidRPr="001F4EDA">
        <w:rPr>
          <w:rFonts w:asciiTheme="majorHAnsi" w:hAnsiTheme="majorHAnsi" w:cstheme="majorHAnsi"/>
          <w:u w:val="single"/>
        </w:rPr>
        <w:t>documentos de caráter obrigatório</w:t>
      </w:r>
      <w:r w:rsidRPr="00767875">
        <w:rPr>
          <w:rFonts w:asciiTheme="majorHAnsi" w:hAnsiTheme="majorHAnsi" w:cstheme="majorHAnsi"/>
        </w:rPr>
        <w:t xml:space="preserve">, emitidos por uma autoridade com mandato para tal, </w:t>
      </w:r>
      <w:r w:rsidRPr="001F4EDA">
        <w:rPr>
          <w:rFonts w:asciiTheme="majorHAnsi" w:hAnsiTheme="majorHAnsi" w:cstheme="majorHAnsi"/>
          <w:u w:val="single"/>
        </w:rPr>
        <w:t>que estabelecem requisitos</w:t>
      </w:r>
      <w:r w:rsidRPr="00767875">
        <w:rPr>
          <w:rFonts w:asciiTheme="majorHAnsi" w:hAnsiTheme="majorHAnsi" w:cstheme="majorHAnsi"/>
        </w:rPr>
        <w:t xml:space="preserve"> para produtos, serviços, bens, processos, </w:t>
      </w:r>
      <w:r w:rsidR="0082206E">
        <w:rPr>
          <w:rFonts w:asciiTheme="majorHAnsi" w:hAnsiTheme="majorHAnsi" w:cstheme="majorHAnsi"/>
        </w:rPr>
        <w:t xml:space="preserve">competências de pessoas ou seus </w:t>
      </w:r>
      <w:r w:rsidRPr="00767875">
        <w:rPr>
          <w:rFonts w:asciiTheme="majorHAnsi" w:hAnsiTheme="majorHAnsi" w:cstheme="majorHAnsi"/>
        </w:rPr>
        <w:t xml:space="preserve">resultados. Podem incluir prescrições acerca dos métodos e processos de produção, do fornecimento ou da prestação ou, ainda, de aspectos relacionados com os produtos, serviços, processos, bens ou competências de pessoas, como terminologia, rotulagem, procedimentos para verificar ou </w:t>
      </w:r>
      <w:r w:rsidR="0082206E">
        <w:rPr>
          <w:rFonts w:asciiTheme="majorHAnsi" w:hAnsiTheme="majorHAnsi" w:cstheme="majorHAnsi"/>
        </w:rPr>
        <w:t>demonstrar a conformidade, etc.</w:t>
      </w:r>
    </w:p>
    <w:p w14:paraId="312AD267" w14:textId="5E00E045" w:rsidR="00767875" w:rsidRP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Pela própria natureza, a regulamentação técnica afeta di</w:t>
      </w:r>
      <w:r>
        <w:rPr>
          <w:rFonts w:asciiTheme="majorHAnsi" w:hAnsiTheme="majorHAnsi" w:cstheme="majorHAnsi"/>
        </w:rPr>
        <w:t>retamente os tipos de produ</w:t>
      </w:r>
      <w:r w:rsidRPr="00767875">
        <w:rPr>
          <w:rFonts w:asciiTheme="majorHAnsi" w:hAnsiTheme="majorHAnsi" w:cstheme="majorHAnsi"/>
        </w:rPr>
        <w:t>tos, serviços, bens e processos que podem ser for</w:t>
      </w:r>
      <w:r w:rsidR="0082206E">
        <w:rPr>
          <w:rFonts w:asciiTheme="majorHAnsi" w:hAnsiTheme="majorHAnsi" w:cstheme="majorHAnsi"/>
        </w:rPr>
        <w:t>necidos em determinado mercado.</w:t>
      </w:r>
    </w:p>
    <w:p w14:paraId="3B2E61B6" w14:textId="7C5AF172" w:rsid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A regulamentação técnica pode ser a única maneira efica</w:t>
      </w:r>
      <w:r w:rsidR="00812B7B">
        <w:rPr>
          <w:rFonts w:asciiTheme="majorHAnsi" w:hAnsiTheme="majorHAnsi" w:cstheme="majorHAnsi"/>
        </w:rPr>
        <w:t>z de alcançar os objetivos pre</w:t>
      </w:r>
      <w:r w:rsidRPr="00767875">
        <w:rPr>
          <w:rFonts w:asciiTheme="majorHAnsi" w:hAnsiTheme="majorHAnsi" w:cstheme="majorHAnsi"/>
        </w:rPr>
        <w:t>tendidos. Isso é particularmente verdadeiro quando estão em jogo riscos significativos para a saúde,</w:t>
      </w:r>
      <w:r>
        <w:rPr>
          <w:rFonts w:asciiTheme="majorHAnsi" w:hAnsiTheme="majorHAnsi" w:cstheme="majorHAnsi"/>
        </w:rPr>
        <w:t xml:space="preserve"> a segurança e o meio ambiente.</w:t>
      </w:r>
    </w:p>
    <w:p w14:paraId="4441F34B" w14:textId="5FBCAE3E" w:rsidR="003E12E5" w:rsidRDefault="003E12E5" w:rsidP="003E12E5">
      <w:pPr>
        <w:spacing w:before="120" w:after="240" w:line="360" w:lineRule="auto"/>
        <w:jc w:val="center"/>
        <w:rPr>
          <w:rFonts w:asciiTheme="majorHAnsi" w:hAnsiTheme="majorHAnsi" w:cstheme="majorHAnsi"/>
        </w:rPr>
      </w:pPr>
      <w:r>
        <w:rPr>
          <w:noProof/>
          <w:lang w:eastAsia="pt-BR"/>
        </w:rPr>
        <w:drawing>
          <wp:inline distT="0" distB="0" distL="0" distR="0" wp14:anchorId="7A81B1AD" wp14:editId="1FC6EAA6">
            <wp:extent cx="4762867" cy="3167743"/>
            <wp:effectExtent l="0" t="0" r="0" b="0"/>
            <wp:docPr id="26" name="Imagem 26" descr="https://entib.org.br/entib/imagens/FAML_M1_A04_2.1_Regul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tib.org.br/entib/imagens/FAML_M1_A04_2.1_RegulaX.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0313" cy="3179346"/>
                    </a:xfrm>
                    <a:prstGeom prst="rect">
                      <a:avLst/>
                    </a:prstGeom>
                    <a:noFill/>
                    <a:ln>
                      <a:noFill/>
                    </a:ln>
                  </pic:spPr>
                </pic:pic>
              </a:graphicData>
            </a:graphic>
          </wp:inline>
        </w:drawing>
      </w:r>
    </w:p>
    <w:p w14:paraId="7D674D11" w14:textId="77777777" w:rsidR="00767875" w:rsidRPr="00767875" w:rsidRDefault="00767875" w:rsidP="001F4EDA">
      <w:pPr>
        <w:pStyle w:val="Ttulo2"/>
        <w:numPr>
          <w:ilvl w:val="1"/>
          <w:numId w:val="13"/>
        </w:numPr>
        <w:tabs>
          <w:tab w:val="left" w:pos="567"/>
        </w:tabs>
        <w:spacing w:before="120" w:beforeAutospacing="0" w:after="240" w:afterAutospacing="0" w:line="360" w:lineRule="auto"/>
        <w:ind w:left="0" w:firstLine="0"/>
      </w:pPr>
      <w:bookmarkStart w:id="15" w:name="_Toc26001160"/>
      <w:r w:rsidRPr="00767875">
        <w:lastRenderedPageBreak/>
        <w:t>Diferença entre norma e regulamento</w:t>
      </w:r>
      <w:bookmarkEnd w:id="15"/>
    </w:p>
    <w:p w14:paraId="16EA3FF4" w14:textId="7EEC8287" w:rsidR="00767875" w:rsidRP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A regulamentação técnica estabelece requisitos que geralmente estão associados às características de um produto ou processos e métodos de produção a ele relacionados com foco na proteção da saúde e da segurança do consumidor e do meio ambiente. Quem faz a regulamentação são as autoridades regul</w:t>
      </w:r>
      <w:r>
        <w:rPr>
          <w:rFonts w:asciiTheme="majorHAnsi" w:hAnsiTheme="majorHAnsi" w:cstheme="majorHAnsi"/>
        </w:rPr>
        <w:t>amentadoras, as quais têm auto</w:t>
      </w:r>
      <w:r w:rsidRPr="00767875">
        <w:rPr>
          <w:rFonts w:asciiTheme="majorHAnsi" w:hAnsiTheme="majorHAnsi" w:cstheme="majorHAnsi"/>
        </w:rPr>
        <w:t>ridade prescrita em lei para emitir regulamentos. Co</w:t>
      </w:r>
      <w:r>
        <w:rPr>
          <w:rFonts w:asciiTheme="majorHAnsi" w:hAnsiTheme="majorHAnsi" w:cstheme="majorHAnsi"/>
        </w:rPr>
        <w:t xml:space="preserve">mo a regulamentação tem caráter </w:t>
      </w:r>
      <w:r w:rsidRPr="00767875">
        <w:rPr>
          <w:rFonts w:asciiTheme="majorHAnsi" w:hAnsiTheme="majorHAnsi" w:cstheme="majorHAnsi"/>
        </w:rPr>
        <w:t>obrigatório, não cumprir um regulamento implica uma irregularidade, que é punível por</w:t>
      </w:r>
      <w:r>
        <w:rPr>
          <w:rFonts w:asciiTheme="majorHAnsi" w:hAnsiTheme="majorHAnsi" w:cstheme="majorHAnsi"/>
        </w:rPr>
        <w:t xml:space="preserve"> </w:t>
      </w:r>
      <w:r w:rsidRPr="00767875">
        <w:rPr>
          <w:rFonts w:asciiTheme="majorHAnsi" w:hAnsiTheme="majorHAnsi" w:cstheme="majorHAnsi"/>
        </w:rPr>
        <w:t>lei de acordo</w:t>
      </w:r>
      <w:r w:rsidR="0082206E">
        <w:rPr>
          <w:rFonts w:asciiTheme="majorHAnsi" w:hAnsiTheme="majorHAnsi" w:cstheme="majorHAnsi"/>
        </w:rPr>
        <w:t xml:space="preserve"> com as penalidades aplicáveis.</w:t>
      </w:r>
    </w:p>
    <w:p w14:paraId="3E157DB2" w14:textId="23F901D8" w:rsidR="00767875" w:rsidRP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As normas técnicas, por sua vez, são documentos estabelecidos por consenso e emitidos por um organismo reconhecido, que pode ser público ou privado, que fornec</w:t>
      </w:r>
      <w:r>
        <w:rPr>
          <w:rFonts w:asciiTheme="majorHAnsi" w:hAnsiTheme="majorHAnsi" w:cstheme="majorHAnsi"/>
        </w:rPr>
        <w:t xml:space="preserve">e – para uso comum e repetido </w:t>
      </w:r>
      <w:r w:rsidRPr="00767875">
        <w:rPr>
          <w:rFonts w:asciiTheme="majorHAnsi" w:hAnsiTheme="majorHAnsi" w:cstheme="majorHAnsi"/>
        </w:rPr>
        <w:t>regras, diretrizes ou características para produtos, serviços, bens, pessoas, processos ou métodos de produção, cujo cumprimento não é obrigatório. Podem também tratar de terminologia, símbolos, requisitos de embalagem, marcação ou rot</w:t>
      </w:r>
      <w:r w:rsidR="0082206E">
        <w:rPr>
          <w:rFonts w:asciiTheme="majorHAnsi" w:hAnsiTheme="majorHAnsi" w:cstheme="majorHAnsi"/>
        </w:rPr>
        <w:t>ulagem aplicáveis a um produto.</w:t>
      </w:r>
    </w:p>
    <w:p w14:paraId="5983F62C" w14:textId="08ED4D3C" w:rsid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As normas técnicas devem basear-se em resultados con</w:t>
      </w:r>
      <w:r>
        <w:rPr>
          <w:rFonts w:asciiTheme="majorHAnsi" w:hAnsiTheme="majorHAnsi" w:cstheme="majorHAnsi"/>
        </w:rPr>
        <w:t>solidados da ciência, da tecno</w:t>
      </w:r>
      <w:r w:rsidRPr="00767875">
        <w:rPr>
          <w:rFonts w:asciiTheme="majorHAnsi" w:hAnsiTheme="majorHAnsi" w:cstheme="majorHAnsi"/>
        </w:rPr>
        <w:t>logia e da experiência, visando trazer benefícios para a sociedade.</w:t>
      </w:r>
    </w:p>
    <w:p w14:paraId="61A7D4E0" w14:textId="77777777" w:rsidR="00767875" w:rsidRDefault="00767875" w:rsidP="00EA63CA">
      <w:pPr>
        <w:spacing w:before="120" w:after="240" w:line="360" w:lineRule="auto"/>
        <w:jc w:val="both"/>
        <w:rPr>
          <w:rFonts w:asciiTheme="majorHAnsi" w:hAnsiTheme="majorHAnsi" w:cstheme="majorHAnsi"/>
        </w:rPr>
      </w:pPr>
    </w:p>
    <w:p w14:paraId="7E9E6D0A" w14:textId="06BCAD3E" w:rsidR="00767875" w:rsidRPr="00767875" w:rsidRDefault="00767875" w:rsidP="00EA63CA">
      <w:pPr>
        <w:spacing w:before="120" w:after="240" w:line="360" w:lineRule="auto"/>
        <w:jc w:val="center"/>
        <w:rPr>
          <w:rFonts w:asciiTheme="majorHAnsi" w:hAnsiTheme="majorHAnsi" w:cstheme="majorHAnsi"/>
          <w:b/>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95"/>
        <w:gridCol w:w="2895"/>
        <w:gridCol w:w="2895"/>
      </w:tblGrid>
      <w:tr w:rsidR="00767875" w:rsidRPr="00DC33E8" w14:paraId="4DCE0AEA" w14:textId="77777777" w:rsidTr="003E12E5">
        <w:trPr>
          <w:trHeight w:val="341"/>
          <w:jc w:val="center"/>
        </w:trPr>
        <w:tc>
          <w:tcPr>
            <w:tcW w:w="2895" w:type="dxa"/>
            <w:shd w:val="clear" w:color="auto" w:fill="0066B2"/>
            <w:vAlign w:val="center"/>
          </w:tcPr>
          <w:p w14:paraId="47647B4E" w14:textId="5E18DC3A" w:rsidR="00767875" w:rsidRPr="001F4EDA" w:rsidRDefault="00083B82" w:rsidP="001F4EDA">
            <w:pPr>
              <w:pStyle w:val="TableParagraph"/>
              <w:spacing w:before="120" w:after="240"/>
              <w:ind w:left="0" w:right="0"/>
              <w:rPr>
                <w:rFonts w:asciiTheme="majorHAnsi" w:hAnsiTheme="majorHAnsi" w:cstheme="majorHAnsi"/>
                <w:b/>
                <w:color w:val="FFFFFF" w:themeColor="background1"/>
                <w:lang w:val="pt-PT"/>
              </w:rPr>
            </w:pPr>
            <w:r w:rsidRPr="001F4EDA">
              <w:rPr>
                <w:rFonts w:asciiTheme="majorHAnsi" w:hAnsiTheme="majorHAnsi" w:cstheme="majorHAnsi"/>
                <w:b/>
                <w:color w:val="FFFFFF" w:themeColor="background1"/>
                <w:lang w:val="pt-PT"/>
              </w:rPr>
              <w:t>Parâmetros</w:t>
            </w:r>
          </w:p>
        </w:tc>
        <w:tc>
          <w:tcPr>
            <w:tcW w:w="2895" w:type="dxa"/>
            <w:shd w:val="clear" w:color="auto" w:fill="0066B2"/>
            <w:vAlign w:val="center"/>
          </w:tcPr>
          <w:p w14:paraId="74DB29A9" w14:textId="77777777" w:rsidR="00767875" w:rsidRPr="001F4EDA" w:rsidRDefault="00767875" w:rsidP="001F4EDA">
            <w:pPr>
              <w:pStyle w:val="TableParagraph"/>
              <w:spacing w:before="120" w:after="240"/>
              <w:ind w:left="77"/>
              <w:rPr>
                <w:rFonts w:asciiTheme="majorHAnsi" w:hAnsiTheme="majorHAnsi" w:cstheme="majorHAnsi"/>
                <w:b/>
                <w:color w:val="FFFFFF" w:themeColor="background1"/>
                <w:lang w:val="pt-PT"/>
              </w:rPr>
            </w:pPr>
            <w:r w:rsidRPr="001F4EDA">
              <w:rPr>
                <w:rFonts w:asciiTheme="majorHAnsi" w:hAnsiTheme="majorHAnsi" w:cstheme="majorHAnsi"/>
                <w:b/>
                <w:color w:val="FFFFFF" w:themeColor="background1"/>
                <w:lang w:val="pt-PT"/>
              </w:rPr>
              <w:t>Norma técnica</w:t>
            </w:r>
          </w:p>
        </w:tc>
        <w:tc>
          <w:tcPr>
            <w:tcW w:w="2895" w:type="dxa"/>
            <w:shd w:val="clear" w:color="auto" w:fill="0066B2"/>
            <w:vAlign w:val="center"/>
          </w:tcPr>
          <w:p w14:paraId="16DA3FCB" w14:textId="77777777" w:rsidR="00767875" w:rsidRPr="001F4EDA" w:rsidRDefault="00767875" w:rsidP="001F4EDA">
            <w:pPr>
              <w:pStyle w:val="TableParagraph"/>
              <w:spacing w:before="120" w:after="240"/>
              <w:ind w:left="78"/>
              <w:rPr>
                <w:rFonts w:asciiTheme="majorHAnsi" w:hAnsiTheme="majorHAnsi" w:cstheme="majorHAnsi"/>
                <w:b/>
                <w:color w:val="FFFFFF" w:themeColor="background1"/>
                <w:lang w:val="pt-PT"/>
              </w:rPr>
            </w:pPr>
            <w:r w:rsidRPr="001F4EDA">
              <w:rPr>
                <w:rFonts w:asciiTheme="majorHAnsi" w:hAnsiTheme="majorHAnsi" w:cstheme="majorHAnsi"/>
                <w:b/>
                <w:color w:val="FFFFFF" w:themeColor="background1"/>
                <w:lang w:val="pt-PT"/>
              </w:rPr>
              <w:t>Regulamento técnico</w:t>
            </w:r>
          </w:p>
        </w:tc>
      </w:tr>
      <w:tr w:rsidR="00767875" w:rsidRPr="00DC33E8" w14:paraId="44ED84E8" w14:textId="77777777" w:rsidTr="001F4EDA">
        <w:trPr>
          <w:trHeight w:val="341"/>
          <w:jc w:val="center"/>
        </w:trPr>
        <w:tc>
          <w:tcPr>
            <w:tcW w:w="2895" w:type="dxa"/>
            <w:shd w:val="clear" w:color="auto" w:fill="auto"/>
            <w:vAlign w:val="center"/>
          </w:tcPr>
          <w:p w14:paraId="74858760" w14:textId="77777777" w:rsidR="00767875" w:rsidRPr="001F4EDA" w:rsidRDefault="00767875" w:rsidP="001F4EDA">
            <w:pPr>
              <w:pStyle w:val="TableParagraph"/>
              <w:spacing w:before="120" w:after="240"/>
              <w:ind w:left="75"/>
              <w:rPr>
                <w:rFonts w:asciiTheme="majorHAnsi" w:hAnsiTheme="majorHAnsi" w:cstheme="majorHAnsi"/>
                <w:b/>
                <w:lang w:val="pt-PT"/>
              </w:rPr>
            </w:pPr>
            <w:r w:rsidRPr="001F4EDA">
              <w:rPr>
                <w:rFonts w:asciiTheme="majorHAnsi" w:hAnsiTheme="majorHAnsi" w:cstheme="majorHAnsi"/>
                <w:b/>
                <w:w w:val="95"/>
                <w:lang w:val="pt-PT"/>
              </w:rPr>
              <w:t>Caráter das disposições</w:t>
            </w:r>
          </w:p>
        </w:tc>
        <w:tc>
          <w:tcPr>
            <w:tcW w:w="2895" w:type="dxa"/>
            <w:vAlign w:val="center"/>
          </w:tcPr>
          <w:p w14:paraId="41A75BF2" w14:textId="77777777" w:rsidR="00767875" w:rsidRPr="001F4EDA" w:rsidRDefault="00767875" w:rsidP="001F4EDA">
            <w:pPr>
              <w:pStyle w:val="TableParagraph"/>
              <w:spacing w:before="120" w:after="240"/>
              <w:rPr>
                <w:rFonts w:asciiTheme="majorHAnsi" w:hAnsiTheme="majorHAnsi" w:cstheme="majorHAnsi"/>
                <w:lang w:val="pt-PT"/>
              </w:rPr>
            </w:pPr>
            <w:r w:rsidRPr="001F4EDA">
              <w:rPr>
                <w:rFonts w:asciiTheme="majorHAnsi" w:hAnsiTheme="majorHAnsi" w:cstheme="majorHAnsi"/>
                <w:lang w:val="pt-PT"/>
              </w:rPr>
              <w:t>Voluntário</w:t>
            </w:r>
          </w:p>
        </w:tc>
        <w:tc>
          <w:tcPr>
            <w:tcW w:w="2895" w:type="dxa"/>
            <w:vAlign w:val="center"/>
          </w:tcPr>
          <w:p w14:paraId="4C7F264F" w14:textId="77777777" w:rsidR="00767875" w:rsidRPr="001F4EDA" w:rsidRDefault="00767875" w:rsidP="001F4EDA">
            <w:pPr>
              <w:pStyle w:val="TableParagraph"/>
              <w:spacing w:before="120" w:after="240"/>
              <w:ind w:left="73"/>
              <w:rPr>
                <w:rFonts w:asciiTheme="majorHAnsi" w:hAnsiTheme="majorHAnsi" w:cstheme="majorHAnsi"/>
                <w:lang w:val="pt-PT"/>
              </w:rPr>
            </w:pPr>
            <w:r w:rsidRPr="001F4EDA">
              <w:rPr>
                <w:rFonts w:asciiTheme="majorHAnsi" w:hAnsiTheme="majorHAnsi" w:cstheme="majorHAnsi"/>
                <w:lang w:val="pt-PT"/>
              </w:rPr>
              <w:t>Obrigatório</w:t>
            </w:r>
          </w:p>
        </w:tc>
      </w:tr>
      <w:tr w:rsidR="00767875" w:rsidRPr="00DC33E8" w14:paraId="2BE7C0D0" w14:textId="77777777" w:rsidTr="001F4EDA">
        <w:trPr>
          <w:trHeight w:val="1455"/>
          <w:jc w:val="center"/>
        </w:trPr>
        <w:tc>
          <w:tcPr>
            <w:tcW w:w="2895" w:type="dxa"/>
            <w:shd w:val="clear" w:color="auto" w:fill="F2F2F2" w:themeFill="background1" w:themeFillShade="F2"/>
            <w:vAlign w:val="center"/>
          </w:tcPr>
          <w:p w14:paraId="67109ACF" w14:textId="77777777" w:rsidR="00767875" w:rsidRPr="001F4EDA" w:rsidRDefault="00767875" w:rsidP="001F4EDA">
            <w:pPr>
              <w:pStyle w:val="TableParagraph"/>
              <w:spacing w:before="120" w:after="240"/>
              <w:ind w:left="72"/>
              <w:rPr>
                <w:rFonts w:asciiTheme="majorHAnsi" w:hAnsiTheme="majorHAnsi" w:cstheme="majorHAnsi"/>
                <w:b/>
                <w:lang w:val="pt-PT"/>
              </w:rPr>
            </w:pPr>
            <w:r w:rsidRPr="001F4EDA">
              <w:rPr>
                <w:rFonts w:asciiTheme="majorHAnsi" w:hAnsiTheme="majorHAnsi" w:cstheme="majorHAnsi"/>
                <w:b/>
                <w:w w:val="95"/>
                <w:lang w:val="pt-PT"/>
              </w:rPr>
              <w:t>Dinâmica da elaboração</w:t>
            </w:r>
          </w:p>
        </w:tc>
        <w:tc>
          <w:tcPr>
            <w:tcW w:w="2895" w:type="dxa"/>
            <w:shd w:val="clear" w:color="auto" w:fill="F2F2F2" w:themeFill="background1" w:themeFillShade="F2"/>
            <w:vAlign w:val="center"/>
          </w:tcPr>
          <w:p w14:paraId="030FF1F0" w14:textId="77777777" w:rsidR="00767875" w:rsidRPr="001F4EDA" w:rsidRDefault="00767875" w:rsidP="001F4EDA">
            <w:pPr>
              <w:pStyle w:val="TableParagraph"/>
              <w:spacing w:before="120" w:after="240"/>
              <w:rPr>
                <w:rFonts w:asciiTheme="majorHAnsi" w:hAnsiTheme="majorHAnsi" w:cstheme="majorHAnsi"/>
                <w:lang w:val="pt-PT"/>
              </w:rPr>
            </w:pPr>
            <w:r w:rsidRPr="001F4EDA">
              <w:rPr>
                <w:rFonts w:asciiTheme="majorHAnsi" w:hAnsiTheme="majorHAnsi" w:cstheme="majorHAnsi"/>
                <w:lang w:val="pt-PT"/>
              </w:rPr>
              <w:t>Baseada em consenso</w:t>
            </w:r>
          </w:p>
        </w:tc>
        <w:tc>
          <w:tcPr>
            <w:tcW w:w="2895" w:type="dxa"/>
            <w:shd w:val="clear" w:color="auto" w:fill="F2F2F2" w:themeFill="background1" w:themeFillShade="F2"/>
            <w:vAlign w:val="center"/>
          </w:tcPr>
          <w:p w14:paraId="2DC9A5BB" w14:textId="561B564C" w:rsidR="00767875" w:rsidRPr="001F4EDA" w:rsidRDefault="00767875" w:rsidP="001F4EDA">
            <w:pPr>
              <w:pStyle w:val="TableParagraph"/>
              <w:spacing w:before="120" w:after="240"/>
              <w:ind w:left="80"/>
              <w:rPr>
                <w:rFonts w:asciiTheme="majorHAnsi" w:hAnsiTheme="majorHAnsi" w:cstheme="majorHAnsi"/>
                <w:lang w:val="pt-PT"/>
              </w:rPr>
            </w:pPr>
            <w:r w:rsidRPr="001F4EDA">
              <w:rPr>
                <w:rFonts w:asciiTheme="majorHAnsi" w:hAnsiTheme="majorHAnsi" w:cstheme="majorHAnsi"/>
                <w:w w:val="95"/>
                <w:lang w:val="pt-PT"/>
              </w:rPr>
              <w:t>Nem sempre baseada</w:t>
            </w:r>
            <w:r w:rsidRPr="001F4EDA">
              <w:rPr>
                <w:rFonts w:asciiTheme="majorHAnsi" w:hAnsiTheme="majorHAnsi" w:cstheme="majorHAnsi"/>
                <w:spacing w:val="-9"/>
                <w:w w:val="95"/>
                <w:lang w:val="pt-PT"/>
              </w:rPr>
              <w:t xml:space="preserve"> </w:t>
            </w:r>
            <w:r w:rsidRPr="001F4EDA">
              <w:rPr>
                <w:rFonts w:asciiTheme="majorHAnsi" w:hAnsiTheme="majorHAnsi" w:cstheme="majorHAnsi"/>
                <w:w w:val="95"/>
                <w:lang w:val="pt-PT"/>
              </w:rPr>
              <w:t xml:space="preserve">em </w:t>
            </w:r>
            <w:r w:rsidRPr="001F4EDA">
              <w:rPr>
                <w:rFonts w:asciiTheme="majorHAnsi" w:hAnsiTheme="majorHAnsi" w:cstheme="majorHAnsi"/>
                <w:spacing w:val="8"/>
                <w:lang w:val="pt-PT"/>
              </w:rPr>
              <w:t xml:space="preserve">consenso. </w:t>
            </w:r>
            <w:r w:rsidRPr="001F4EDA">
              <w:rPr>
                <w:rFonts w:asciiTheme="majorHAnsi" w:hAnsiTheme="majorHAnsi" w:cstheme="majorHAnsi"/>
                <w:lang w:val="pt-PT"/>
              </w:rPr>
              <w:t xml:space="preserve">A </w:t>
            </w:r>
            <w:r w:rsidR="00EA63CA" w:rsidRPr="001F4EDA">
              <w:rPr>
                <w:rFonts w:asciiTheme="majorHAnsi" w:hAnsiTheme="majorHAnsi" w:cstheme="majorHAnsi"/>
                <w:spacing w:val="7"/>
                <w:lang w:val="pt-PT"/>
              </w:rPr>
              <w:t>última pa</w:t>
            </w:r>
            <w:r w:rsidRPr="001F4EDA">
              <w:rPr>
                <w:rFonts w:asciiTheme="majorHAnsi" w:hAnsiTheme="majorHAnsi" w:cstheme="majorHAnsi"/>
                <w:spacing w:val="12"/>
                <w:lang w:val="pt-PT"/>
              </w:rPr>
              <w:t xml:space="preserve">lavra </w:t>
            </w:r>
            <w:r w:rsidRPr="001F4EDA">
              <w:rPr>
                <w:rFonts w:asciiTheme="majorHAnsi" w:hAnsiTheme="majorHAnsi" w:cstheme="majorHAnsi"/>
                <w:lang w:val="pt-PT"/>
              </w:rPr>
              <w:t xml:space="preserve">é </w:t>
            </w:r>
            <w:r w:rsidRPr="001F4EDA">
              <w:rPr>
                <w:rFonts w:asciiTheme="majorHAnsi" w:hAnsiTheme="majorHAnsi" w:cstheme="majorHAnsi"/>
                <w:spacing w:val="7"/>
                <w:lang w:val="pt-PT"/>
              </w:rPr>
              <w:t>da</w:t>
            </w:r>
            <w:r w:rsidR="00EA63CA" w:rsidRPr="001F4EDA">
              <w:rPr>
                <w:rFonts w:asciiTheme="majorHAnsi" w:hAnsiTheme="majorHAnsi" w:cstheme="majorHAnsi"/>
                <w:spacing w:val="36"/>
                <w:lang w:val="pt-PT"/>
              </w:rPr>
              <w:t xml:space="preserve"> </w:t>
            </w:r>
            <w:r w:rsidRPr="001F4EDA">
              <w:rPr>
                <w:rFonts w:asciiTheme="majorHAnsi" w:hAnsiTheme="majorHAnsi" w:cstheme="majorHAnsi"/>
                <w:spacing w:val="13"/>
                <w:lang w:val="pt-PT"/>
              </w:rPr>
              <w:t>autoridade</w:t>
            </w:r>
            <w:r w:rsidR="00EA63CA" w:rsidRPr="001F4EDA">
              <w:rPr>
                <w:rFonts w:asciiTheme="majorHAnsi" w:hAnsiTheme="majorHAnsi" w:cstheme="majorHAnsi"/>
                <w:spacing w:val="13"/>
                <w:lang w:val="pt-PT"/>
              </w:rPr>
              <w:t xml:space="preserve"> </w:t>
            </w:r>
            <w:r w:rsidRPr="001F4EDA">
              <w:rPr>
                <w:rFonts w:asciiTheme="majorHAnsi" w:hAnsiTheme="majorHAnsi" w:cstheme="majorHAnsi"/>
                <w:lang w:val="pt-PT"/>
              </w:rPr>
              <w:t>regulamentadora</w:t>
            </w:r>
          </w:p>
        </w:tc>
      </w:tr>
      <w:tr w:rsidR="00767875" w:rsidRPr="00DC33E8" w14:paraId="2FC7F93D" w14:textId="77777777" w:rsidTr="001F4EDA">
        <w:trPr>
          <w:trHeight w:val="713"/>
          <w:jc w:val="center"/>
        </w:trPr>
        <w:tc>
          <w:tcPr>
            <w:tcW w:w="2895" w:type="dxa"/>
            <w:shd w:val="clear" w:color="auto" w:fill="auto"/>
            <w:vAlign w:val="center"/>
          </w:tcPr>
          <w:p w14:paraId="551D8B9F" w14:textId="671E640C" w:rsidR="00767875" w:rsidRPr="001F4EDA" w:rsidRDefault="00767875" w:rsidP="001F4EDA">
            <w:pPr>
              <w:pStyle w:val="TableParagraph"/>
              <w:spacing w:before="120" w:after="240"/>
              <w:ind w:left="75"/>
              <w:rPr>
                <w:rFonts w:asciiTheme="majorHAnsi" w:hAnsiTheme="majorHAnsi" w:cstheme="majorHAnsi"/>
                <w:b/>
                <w:lang w:val="pt-PT"/>
              </w:rPr>
            </w:pPr>
            <w:r w:rsidRPr="001F4EDA">
              <w:rPr>
                <w:rFonts w:asciiTheme="majorHAnsi" w:hAnsiTheme="majorHAnsi" w:cstheme="majorHAnsi"/>
                <w:b/>
                <w:w w:val="95"/>
                <w:lang w:val="pt-PT"/>
              </w:rPr>
              <w:t>Participação no</w:t>
            </w:r>
            <w:r w:rsidRPr="001F4EDA">
              <w:rPr>
                <w:rFonts w:asciiTheme="majorHAnsi" w:hAnsiTheme="majorHAnsi" w:cstheme="majorHAnsi"/>
                <w:b/>
                <w:spacing w:val="-4"/>
                <w:w w:val="95"/>
                <w:lang w:val="pt-PT"/>
              </w:rPr>
              <w:t xml:space="preserve">processo </w:t>
            </w:r>
            <w:r w:rsidRPr="001F4EDA">
              <w:rPr>
                <w:rFonts w:asciiTheme="majorHAnsi" w:hAnsiTheme="majorHAnsi" w:cstheme="majorHAnsi"/>
                <w:b/>
                <w:w w:val="95"/>
                <w:lang w:val="pt-PT"/>
              </w:rPr>
              <w:t>de</w:t>
            </w:r>
            <w:r w:rsidRPr="001F4EDA">
              <w:rPr>
                <w:rFonts w:asciiTheme="majorHAnsi" w:hAnsiTheme="majorHAnsi" w:cstheme="majorHAnsi"/>
                <w:b/>
                <w:spacing w:val="-51"/>
                <w:w w:val="95"/>
                <w:lang w:val="pt-PT"/>
              </w:rPr>
              <w:t xml:space="preserve"> </w:t>
            </w:r>
            <w:r w:rsidRPr="001F4EDA">
              <w:rPr>
                <w:rFonts w:asciiTheme="majorHAnsi" w:hAnsiTheme="majorHAnsi" w:cstheme="majorHAnsi"/>
                <w:b/>
                <w:spacing w:val="-4"/>
                <w:w w:val="95"/>
                <w:lang w:val="pt-PT"/>
              </w:rPr>
              <w:t>elaboração</w:t>
            </w:r>
          </w:p>
        </w:tc>
        <w:tc>
          <w:tcPr>
            <w:tcW w:w="2895" w:type="dxa"/>
            <w:shd w:val="clear" w:color="auto" w:fill="auto"/>
            <w:vAlign w:val="center"/>
          </w:tcPr>
          <w:p w14:paraId="69824447" w14:textId="77777777" w:rsidR="00767875" w:rsidRPr="001F4EDA" w:rsidRDefault="00767875" w:rsidP="001F4EDA">
            <w:pPr>
              <w:pStyle w:val="TableParagraph"/>
              <w:spacing w:before="120" w:after="240"/>
              <w:rPr>
                <w:rFonts w:asciiTheme="majorHAnsi" w:hAnsiTheme="majorHAnsi" w:cstheme="majorHAnsi"/>
                <w:lang w:val="pt-PT"/>
              </w:rPr>
            </w:pPr>
            <w:r w:rsidRPr="001F4EDA">
              <w:rPr>
                <w:rFonts w:asciiTheme="majorHAnsi" w:hAnsiTheme="majorHAnsi" w:cstheme="majorHAnsi"/>
                <w:lang w:val="pt-PT"/>
              </w:rPr>
              <w:t>Voluntária</w:t>
            </w:r>
          </w:p>
        </w:tc>
        <w:tc>
          <w:tcPr>
            <w:tcW w:w="2895" w:type="dxa"/>
            <w:shd w:val="clear" w:color="auto" w:fill="auto"/>
            <w:vAlign w:val="center"/>
          </w:tcPr>
          <w:p w14:paraId="458238C0" w14:textId="77777777" w:rsidR="00767875" w:rsidRPr="001F4EDA" w:rsidRDefault="00767875" w:rsidP="001F4EDA">
            <w:pPr>
              <w:pStyle w:val="TableParagraph"/>
              <w:spacing w:before="120" w:after="240"/>
              <w:ind w:left="77"/>
              <w:rPr>
                <w:rFonts w:asciiTheme="majorHAnsi" w:hAnsiTheme="majorHAnsi" w:cstheme="majorHAnsi"/>
                <w:lang w:val="pt-PT"/>
              </w:rPr>
            </w:pPr>
            <w:r w:rsidRPr="001F4EDA">
              <w:rPr>
                <w:rFonts w:asciiTheme="majorHAnsi" w:hAnsiTheme="majorHAnsi" w:cstheme="majorHAnsi"/>
                <w:lang w:val="pt-PT"/>
              </w:rPr>
              <w:t>Necessária</w:t>
            </w:r>
          </w:p>
        </w:tc>
      </w:tr>
      <w:tr w:rsidR="00767875" w:rsidRPr="00DC33E8" w14:paraId="4BBACFD0" w14:textId="77777777" w:rsidTr="001F4EDA">
        <w:trPr>
          <w:trHeight w:val="1084"/>
          <w:jc w:val="center"/>
        </w:trPr>
        <w:tc>
          <w:tcPr>
            <w:tcW w:w="2895" w:type="dxa"/>
            <w:shd w:val="clear" w:color="auto" w:fill="F2F2F2" w:themeFill="background1" w:themeFillShade="F2"/>
            <w:vAlign w:val="center"/>
          </w:tcPr>
          <w:p w14:paraId="25B16AAF" w14:textId="77777777" w:rsidR="00767875" w:rsidRPr="001F4EDA" w:rsidRDefault="00767875" w:rsidP="001F4EDA">
            <w:pPr>
              <w:pStyle w:val="TableParagraph"/>
              <w:spacing w:before="120" w:after="240"/>
              <w:rPr>
                <w:rFonts w:asciiTheme="majorHAnsi" w:hAnsiTheme="majorHAnsi" w:cstheme="majorHAnsi"/>
                <w:b/>
                <w:lang w:val="pt-PT"/>
              </w:rPr>
            </w:pPr>
            <w:r w:rsidRPr="001F4EDA">
              <w:rPr>
                <w:rFonts w:asciiTheme="majorHAnsi" w:hAnsiTheme="majorHAnsi" w:cstheme="majorHAnsi"/>
                <w:b/>
                <w:lang w:val="pt-PT"/>
              </w:rPr>
              <w:t>Escopo</w:t>
            </w:r>
          </w:p>
        </w:tc>
        <w:tc>
          <w:tcPr>
            <w:tcW w:w="2895" w:type="dxa"/>
            <w:shd w:val="clear" w:color="auto" w:fill="F2F2F2" w:themeFill="background1" w:themeFillShade="F2"/>
            <w:vAlign w:val="center"/>
          </w:tcPr>
          <w:p w14:paraId="6C86EE02" w14:textId="21E4FFC0" w:rsidR="00767875" w:rsidRPr="001F4EDA" w:rsidRDefault="00767875" w:rsidP="001F4EDA">
            <w:pPr>
              <w:pStyle w:val="TableParagraph"/>
              <w:spacing w:before="120" w:after="240"/>
              <w:ind w:left="80" w:right="0"/>
              <w:rPr>
                <w:rFonts w:asciiTheme="majorHAnsi" w:hAnsiTheme="majorHAnsi" w:cstheme="majorHAnsi"/>
                <w:lang w:val="pt-PT"/>
              </w:rPr>
            </w:pPr>
            <w:r w:rsidRPr="001F4EDA">
              <w:rPr>
                <w:rFonts w:asciiTheme="majorHAnsi" w:hAnsiTheme="majorHAnsi" w:cstheme="majorHAnsi"/>
                <w:spacing w:val="-8"/>
                <w:w w:val="95"/>
                <w:lang w:val="pt-PT"/>
              </w:rPr>
              <w:t xml:space="preserve">Todos </w:t>
            </w:r>
            <w:r w:rsidRPr="001F4EDA">
              <w:rPr>
                <w:rFonts w:asciiTheme="majorHAnsi" w:hAnsiTheme="majorHAnsi" w:cstheme="majorHAnsi"/>
                <w:spacing w:val="-3"/>
                <w:w w:val="95"/>
                <w:lang w:val="pt-PT"/>
              </w:rPr>
              <w:t xml:space="preserve">os </w:t>
            </w:r>
            <w:r w:rsidRPr="001F4EDA">
              <w:rPr>
                <w:rFonts w:asciiTheme="majorHAnsi" w:hAnsiTheme="majorHAnsi" w:cstheme="majorHAnsi"/>
                <w:spacing w:val="-5"/>
                <w:w w:val="95"/>
                <w:lang w:val="pt-PT"/>
              </w:rPr>
              <w:t>aspectos</w:t>
            </w:r>
            <w:r w:rsidR="00EA63CA" w:rsidRPr="001F4EDA">
              <w:rPr>
                <w:rFonts w:asciiTheme="majorHAnsi" w:hAnsiTheme="majorHAnsi" w:cstheme="majorHAnsi"/>
                <w:spacing w:val="-5"/>
                <w:w w:val="95"/>
                <w:lang w:val="pt-PT"/>
              </w:rPr>
              <w:t xml:space="preserve"> </w:t>
            </w:r>
            <w:r w:rsidRPr="001F4EDA">
              <w:rPr>
                <w:rFonts w:asciiTheme="majorHAnsi" w:hAnsiTheme="majorHAnsi" w:cstheme="majorHAnsi"/>
                <w:spacing w:val="-54"/>
                <w:w w:val="95"/>
                <w:lang w:val="pt-PT"/>
              </w:rPr>
              <w:t xml:space="preserve"> </w:t>
            </w:r>
            <w:r w:rsidRPr="001F4EDA">
              <w:rPr>
                <w:rFonts w:asciiTheme="majorHAnsi" w:hAnsiTheme="majorHAnsi" w:cstheme="majorHAnsi"/>
                <w:spacing w:val="-4"/>
                <w:w w:val="95"/>
                <w:lang w:val="pt-PT"/>
              </w:rPr>
              <w:t>tecnoló</w:t>
            </w:r>
            <w:r w:rsidRPr="001F4EDA">
              <w:rPr>
                <w:rFonts w:asciiTheme="majorHAnsi" w:hAnsiTheme="majorHAnsi" w:cstheme="majorHAnsi"/>
                <w:w w:val="95"/>
                <w:lang w:val="pt-PT"/>
              </w:rPr>
              <w:t xml:space="preserve">gicos ligados ao objeto da </w:t>
            </w:r>
            <w:r w:rsidRPr="001F4EDA">
              <w:rPr>
                <w:rFonts w:asciiTheme="majorHAnsi" w:hAnsiTheme="majorHAnsi" w:cstheme="majorHAnsi"/>
                <w:lang w:val="pt-PT"/>
              </w:rPr>
              <w:t>normalização</w:t>
            </w:r>
          </w:p>
        </w:tc>
        <w:tc>
          <w:tcPr>
            <w:tcW w:w="2895" w:type="dxa"/>
            <w:shd w:val="clear" w:color="auto" w:fill="F2F2F2" w:themeFill="background1" w:themeFillShade="F2"/>
            <w:vAlign w:val="center"/>
          </w:tcPr>
          <w:p w14:paraId="0F65B419" w14:textId="02FF7926" w:rsidR="00767875" w:rsidRPr="001F4EDA" w:rsidRDefault="00767875" w:rsidP="001F4EDA">
            <w:pPr>
              <w:pStyle w:val="TableParagraph"/>
              <w:spacing w:before="120" w:after="240"/>
              <w:ind w:left="134" w:right="0" w:hanging="55"/>
              <w:rPr>
                <w:rFonts w:asciiTheme="majorHAnsi" w:hAnsiTheme="majorHAnsi" w:cstheme="majorHAnsi"/>
                <w:lang w:val="pt-PT"/>
              </w:rPr>
            </w:pPr>
            <w:r w:rsidRPr="001F4EDA">
              <w:rPr>
                <w:rFonts w:asciiTheme="majorHAnsi" w:hAnsiTheme="majorHAnsi" w:cstheme="majorHAnsi"/>
                <w:spacing w:val="-4"/>
                <w:w w:val="90"/>
                <w:lang w:val="pt-PT"/>
              </w:rPr>
              <w:t>Limitado</w:t>
            </w:r>
            <w:r w:rsidR="00EA63CA" w:rsidRPr="001F4EDA">
              <w:rPr>
                <w:rFonts w:asciiTheme="majorHAnsi" w:hAnsiTheme="majorHAnsi" w:cstheme="majorHAnsi"/>
                <w:spacing w:val="-4"/>
                <w:w w:val="90"/>
                <w:lang w:val="pt-PT"/>
              </w:rPr>
              <w:t xml:space="preserve"> </w:t>
            </w:r>
            <w:r w:rsidRPr="001F4EDA">
              <w:rPr>
                <w:rFonts w:asciiTheme="majorHAnsi" w:hAnsiTheme="majorHAnsi" w:cstheme="majorHAnsi"/>
                <w:spacing w:val="-4"/>
                <w:w w:val="90"/>
                <w:lang w:val="pt-PT"/>
              </w:rPr>
              <w:t>à</w:t>
            </w:r>
            <w:r w:rsidR="00EA63CA" w:rsidRPr="001F4EDA">
              <w:rPr>
                <w:rFonts w:asciiTheme="majorHAnsi" w:hAnsiTheme="majorHAnsi" w:cstheme="majorHAnsi"/>
                <w:spacing w:val="-4"/>
                <w:w w:val="90"/>
                <w:lang w:val="pt-PT"/>
              </w:rPr>
              <w:t xml:space="preserve"> </w:t>
            </w:r>
            <w:r w:rsidRPr="001F4EDA">
              <w:rPr>
                <w:rFonts w:asciiTheme="majorHAnsi" w:hAnsiTheme="majorHAnsi" w:cstheme="majorHAnsi"/>
                <w:spacing w:val="-4"/>
                <w:w w:val="90"/>
                <w:lang w:val="pt-PT"/>
              </w:rPr>
              <w:t xml:space="preserve">essencialidade </w:t>
            </w:r>
            <w:r w:rsidRPr="001F4EDA">
              <w:rPr>
                <w:rFonts w:asciiTheme="majorHAnsi" w:hAnsiTheme="majorHAnsi" w:cstheme="majorHAnsi"/>
                <w:spacing w:val="-3"/>
                <w:w w:val="90"/>
                <w:lang w:val="pt-PT"/>
              </w:rPr>
              <w:t xml:space="preserve">do </w:t>
            </w:r>
            <w:r w:rsidRPr="001F4EDA">
              <w:rPr>
                <w:rFonts w:asciiTheme="majorHAnsi" w:hAnsiTheme="majorHAnsi" w:cstheme="majorHAnsi"/>
                <w:spacing w:val="-5"/>
                <w:w w:val="95"/>
                <w:lang w:val="pt-PT"/>
              </w:rPr>
              <w:t xml:space="preserve">objeto </w:t>
            </w:r>
            <w:r w:rsidRPr="001F4EDA">
              <w:rPr>
                <w:rFonts w:asciiTheme="majorHAnsi" w:hAnsiTheme="majorHAnsi" w:cstheme="majorHAnsi"/>
                <w:spacing w:val="-3"/>
                <w:w w:val="95"/>
                <w:lang w:val="pt-PT"/>
              </w:rPr>
              <w:t xml:space="preserve">da </w:t>
            </w:r>
            <w:r w:rsidRPr="001F4EDA">
              <w:rPr>
                <w:rFonts w:asciiTheme="majorHAnsi" w:hAnsiTheme="majorHAnsi" w:cstheme="majorHAnsi"/>
                <w:spacing w:val="-5"/>
                <w:w w:val="95"/>
                <w:lang w:val="pt-PT"/>
              </w:rPr>
              <w:t>regulamentação</w:t>
            </w:r>
          </w:p>
        </w:tc>
      </w:tr>
      <w:tr w:rsidR="00767875" w:rsidRPr="00DC33E8" w14:paraId="5F2415CF" w14:textId="77777777" w:rsidTr="001F4EDA">
        <w:trPr>
          <w:trHeight w:val="2198"/>
          <w:jc w:val="center"/>
        </w:trPr>
        <w:tc>
          <w:tcPr>
            <w:tcW w:w="2895" w:type="dxa"/>
            <w:shd w:val="clear" w:color="auto" w:fill="auto"/>
            <w:vAlign w:val="center"/>
          </w:tcPr>
          <w:p w14:paraId="58C34942" w14:textId="77777777" w:rsidR="00767875" w:rsidRPr="001F4EDA" w:rsidRDefault="00767875" w:rsidP="001F4EDA">
            <w:pPr>
              <w:pStyle w:val="TableParagraph"/>
              <w:spacing w:before="120" w:after="240"/>
              <w:rPr>
                <w:rFonts w:asciiTheme="majorHAnsi" w:hAnsiTheme="majorHAnsi" w:cstheme="majorHAnsi"/>
                <w:b/>
                <w:lang w:val="pt-PT"/>
              </w:rPr>
            </w:pPr>
            <w:r w:rsidRPr="001F4EDA">
              <w:rPr>
                <w:rFonts w:asciiTheme="majorHAnsi" w:hAnsiTheme="majorHAnsi" w:cstheme="majorHAnsi"/>
                <w:b/>
                <w:lang w:val="pt-PT"/>
              </w:rPr>
              <w:lastRenderedPageBreak/>
              <w:t>Objeto</w:t>
            </w:r>
          </w:p>
        </w:tc>
        <w:tc>
          <w:tcPr>
            <w:tcW w:w="2895" w:type="dxa"/>
            <w:shd w:val="clear" w:color="auto" w:fill="auto"/>
            <w:vAlign w:val="center"/>
          </w:tcPr>
          <w:p w14:paraId="2B7BF225" w14:textId="3F6ED46E" w:rsidR="00767875" w:rsidRPr="001F4EDA" w:rsidRDefault="00767875" w:rsidP="001F4EDA">
            <w:pPr>
              <w:pStyle w:val="TableParagraph"/>
              <w:spacing w:before="120" w:after="240"/>
              <w:ind w:left="80" w:right="54"/>
              <w:rPr>
                <w:rFonts w:asciiTheme="majorHAnsi" w:hAnsiTheme="majorHAnsi" w:cstheme="majorHAnsi"/>
                <w:lang w:val="pt-PT"/>
              </w:rPr>
            </w:pPr>
            <w:r w:rsidRPr="001F4EDA">
              <w:rPr>
                <w:rFonts w:asciiTheme="majorHAnsi" w:hAnsiTheme="majorHAnsi" w:cstheme="majorHAnsi"/>
                <w:spacing w:val="-5"/>
                <w:w w:val="95"/>
                <w:lang w:val="pt-PT"/>
              </w:rPr>
              <w:t xml:space="preserve">Qualquer </w:t>
            </w:r>
            <w:r w:rsidRPr="001F4EDA">
              <w:rPr>
                <w:rFonts w:asciiTheme="majorHAnsi" w:hAnsiTheme="majorHAnsi" w:cstheme="majorHAnsi"/>
                <w:spacing w:val="-6"/>
                <w:w w:val="95"/>
                <w:lang w:val="pt-PT"/>
              </w:rPr>
              <w:t xml:space="preserve">material, </w:t>
            </w:r>
            <w:r w:rsidRPr="001F4EDA">
              <w:rPr>
                <w:rFonts w:asciiTheme="majorHAnsi" w:hAnsiTheme="majorHAnsi" w:cstheme="majorHAnsi"/>
                <w:spacing w:val="-3"/>
                <w:w w:val="95"/>
                <w:lang w:val="pt-PT"/>
              </w:rPr>
              <w:t>compo</w:t>
            </w:r>
            <w:r w:rsidR="00EA63CA" w:rsidRPr="001F4EDA">
              <w:rPr>
                <w:rFonts w:asciiTheme="majorHAnsi" w:hAnsiTheme="majorHAnsi" w:cstheme="majorHAnsi"/>
                <w:spacing w:val="-5"/>
                <w:w w:val="95"/>
                <w:lang w:val="pt-PT"/>
              </w:rPr>
              <w:t xml:space="preserve">nente, equipamento, </w:t>
            </w:r>
            <w:r w:rsidRPr="001F4EDA">
              <w:rPr>
                <w:rFonts w:asciiTheme="majorHAnsi" w:hAnsiTheme="majorHAnsi" w:cstheme="majorHAnsi"/>
                <w:spacing w:val="-3"/>
                <w:w w:val="95"/>
                <w:lang w:val="pt-PT"/>
              </w:rPr>
              <w:t>siste</w:t>
            </w:r>
            <w:r w:rsidRPr="001F4EDA">
              <w:rPr>
                <w:rFonts w:asciiTheme="majorHAnsi" w:hAnsiTheme="majorHAnsi" w:cstheme="majorHAnsi"/>
                <w:lang w:val="pt-PT"/>
              </w:rPr>
              <w:t xml:space="preserve">ma, </w:t>
            </w:r>
            <w:r w:rsidRPr="001F4EDA">
              <w:rPr>
                <w:rFonts w:asciiTheme="majorHAnsi" w:hAnsiTheme="majorHAnsi" w:cstheme="majorHAnsi"/>
                <w:spacing w:val="3"/>
                <w:lang w:val="pt-PT"/>
              </w:rPr>
              <w:t>interface,</w:t>
            </w:r>
            <w:r w:rsidRPr="001F4EDA">
              <w:rPr>
                <w:rFonts w:asciiTheme="majorHAnsi" w:hAnsiTheme="majorHAnsi" w:cstheme="majorHAnsi"/>
                <w:spacing w:val="-13"/>
                <w:lang w:val="pt-PT"/>
              </w:rPr>
              <w:t xml:space="preserve"> </w:t>
            </w:r>
            <w:r w:rsidRPr="001F4EDA">
              <w:rPr>
                <w:rFonts w:asciiTheme="majorHAnsi" w:hAnsiTheme="majorHAnsi" w:cstheme="majorHAnsi"/>
                <w:spacing w:val="3"/>
                <w:lang w:val="pt-PT"/>
              </w:rPr>
              <w:t xml:space="preserve">protocolo, </w:t>
            </w:r>
            <w:r w:rsidRPr="001F4EDA">
              <w:rPr>
                <w:rFonts w:asciiTheme="majorHAnsi" w:hAnsiTheme="majorHAnsi" w:cstheme="majorHAnsi"/>
                <w:lang w:val="pt-PT"/>
              </w:rPr>
              <w:t xml:space="preserve">procedimento, </w:t>
            </w:r>
            <w:r w:rsidRPr="001F4EDA">
              <w:rPr>
                <w:rFonts w:asciiTheme="majorHAnsi" w:hAnsiTheme="majorHAnsi" w:cstheme="majorHAnsi"/>
                <w:spacing w:val="2"/>
                <w:lang w:val="pt-PT"/>
              </w:rPr>
              <w:t>função</w:t>
            </w:r>
            <w:r w:rsidRPr="001F4EDA">
              <w:rPr>
                <w:rFonts w:asciiTheme="majorHAnsi" w:hAnsiTheme="majorHAnsi" w:cstheme="majorHAnsi"/>
                <w:spacing w:val="-40"/>
                <w:lang w:val="pt-PT"/>
              </w:rPr>
              <w:t xml:space="preserve"> </w:t>
            </w:r>
            <w:r w:rsidRPr="001F4EDA">
              <w:rPr>
                <w:rFonts w:asciiTheme="majorHAnsi" w:hAnsiTheme="majorHAnsi" w:cstheme="majorHAnsi"/>
                <w:lang w:val="pt-PT"/>
              </w:rPr>
              <w:t xml:space="preserve">ou </w:t>
            </w:r>
            <w:r w:rsidRPr="001F4EDA">
              <w:rPr>
                <w:rFonts w:asciiTheme="majorHAnsi" w:hAnsiTheme="majorHAnsi" w:cstheme="majorHAnsi"/>
                <w:spacing w:val="4"/>
                <w:lang w:val="pt-PT"/>
              </w:rPr>
              <w:t xml:space="preserve">método </w:t>
            </w:r>
            <w:r w:rsidRPr="001F4EDA">
              <w:rPr>
                <w:rFonts w:asciiTheme="majorHAnsi" w:hAnsiTheme="majorHAnsi" w:cstheme="majorHAnsi"/>
                <w:spacing w:val="3"/>
                <w:lang w:val="pt-PT"/>
              </w:rPr>
              <w:t xml:space="preserve">de </w:t>
            </w:r>
            <w:r w:rsidRPr="001F4EDA">
              <w:rPr>
                <w:rFonts w:asciiTheme="majorHAnsi" w:hAnsiTheme="majorHAnsi" w:cstheme="majorHAnsi"/>
                <w:spacing w:val="4"/>
                <w:lang w:val="pt-PT"/>
              </w:rPr>
              <w:t>atividade</w:t>
            </w:r>
            <w:r w:rsidRPr="001F4EDA">
              <w:rPr>
                <w:rFonts w:asciiTheme="majorHAnsi" w:hAnsiTheme="majorHAnsi" w:cstheme="majorHAnsi"/>
                <w:spacing w:val="62"/>
                <w:lang w:val="pt-PT"/>
              </w:rPr>
              <w:t xml:space="preserve"> </w:t>
            </w:r>
            <w:r w:rsidRPr="001F4EDA">
              <w:rPr>
                <w:rFonts w:asciiTheme="majorHAnsi" w:hAnsiTheme="majorHAnsi" w:cstheme="majorHAnsi"/>
                <w:spacing w:val="2"/>
                <w:lang w:val="pt-PT"/>
              </w:rPr>
              <w:t>ou</w:t>
            </w:r>
            <w:r w:rsidR="00EA63CA" w:rsidRPr="001F4EDA">
              <w:rPr>
                <w:rFonts w:asciiTheme="majorHAnsi" w:hAnsiTheme="majorHAnsi" w:cstheme="majorHAnsi"/>
                <w:spacing w:val="2"/>
                <w:lang w:val="pt-PT"/>
              </w:rPr>
              <w:t xml:space="preserve"> </w:t>
            </w:r>
            <w:r w:rsidRPr="001F4EDA">
              <w:rPr>
                <w:rFonts w:asciiTheme="majorHAnsi" w:hAnsiTheme="majorHAnsi" w:cstheme="majorHAnsi"/>
                <w:lang w:val="pt-PT"/>
              </w:rPr>
              <w:t>processo</w:t>
            </w:r>
          </w:p>
        </w:tc>
        <w:tc>
          <w:tcPr>
            <w:tcW w:w="2895" w:type="dxa"/>
            <w:shd w:val="clear" w:color="auto" w:fill="auto"/>
            <w:vAlign w:val="center"/>
          </w:tcPr>
          <w:p w14:paraId="4D054B3C" w14:textId="13F0FE19" w:rsidR="00767875" w:rsidRPr="001F4EDA" w:rsidRDefault="00EA63CA" w:rsidP="001F4EDA">
            <w:pPr>
              <w:pStyle w:val="TableParagraph"/>
              <w:spacing w:before="120" w:after="240"/>
              <w:ind w:left="80"/>
              <w:rPr>
                <w:rFonts w:asciiTheme="majorHAnsi" w:hAnsiTheme="majorHAnsi" w:cstheme="majorHAnsi"/>
                <w:lang w:val="pt-PT"/>
              </w:rPr>
            </w:pPr>
            <w:r w:rsidRPr="001F4EDA">
              <w:rPr>
                <w:rFonts w:asciiTheme="majorHAnsi" w:hAnsiTheme="majorHAnsi" w:cstheme="majorHAnsi"/>
                <w:lang w:val="pt-PT"/>
              </w:rPr>
              <w:t>Em geral, defesa da concorrência e proteção da saúde e segurança do consumidor e do meio ambiente</w:t>
            </w:r>
          </w:p>
        </w:tc>
      </w:tr>
    </w:tbl>
    <w:p w14:paraId="1ECA0668" w14:textId="77777777" w:rsidR="00767875" w:rsidRPr="00767875" w:rsidRDefault="00767875" w:rsidP="00EA63CA">
      <w:pPr>
        <w:spacing w:before="120" w:after="240" w:line="360" w:lineRule="auto"/>
        <w:jc w:val="both"/>
        <w:rPr>
          <w:rFonts w:asciiTheme="majorHAnsi" w:hAnsiTheme="majorHAnsi" w:cstheme="majorHAnsi"/>
        </w:rPr>
      </w:pPr>
    </w:p>
    <w:p w14:paraId="7A1CCFBF" w14:textId="0085925F" w:rsidR="00767875" w:rsidRPr="0082206E" w:rsidRDefault="00767875" w:rsidP="00EA63CA">
      <w:pPr>
        <w:spacing w:before="120" w:after="240" w:line="360" w:lineRule="auto"/>
        <w:jc w:val="both"/>
        <w:rPr>
          <w:rFonts w:asciiTheme="majorHAnsi" w:hAnsiTheme="majorHAnsi" w:cstheme="majorHAnsi"/>
          <w:b/>
        </w:rPr>
      </w:pPr>
      <w:r w:rsidRPr="00767875">
        <w:rPr>
          <w:rFonts w:asciiTheme="majorHAnsi" w:hAnsiTheme="majorHAnsi" w:cstheme="majorHAnsi"/>
          <w:b/>
        </w:rPr>
        <w:t>O uso de norma</w:t>
      </w:r>
      <w:r w:rsidR="0082206E">
        <w:rPr>
          <w:rFonts w:asciiTheme="majorHAnsi" w:hAnsiTheme="majorHAnsi" w:cstheme="majorHAnsi"/>
          <w:b/>
        </w:rPr>
        <w:t>s na elaboração de regulamentos</w:t>
      </w:r>
    </w:p>
    <w:p w14:paraId="2EB3214E" w14:textId="78064E4D" w:rsidR="00767875" w:rsidRPr="00767875" w:rsidRDefault="003E12E5" w:rsidP="00EA63CA">
      <w:pPr>
        <w:spacing w:before="120" w:after="240" w:line="360" w:lineRule="auto"/>
        <w:jc w:val="both"/>
        <w:rPr>
          <w:rFonts w:asciiTheme="majorHAnsi" w:hAnsiTheme="majorHAnsi" w:cstheme="majorHAnsi"/>
        </w:rPr>
      </w:pPr>
      <w:r>
        <w:rPr>
          <w:noProof/>
          <w:lang w:eastAsia="pt-BR"/>
        </w:rPr>
        <w:drawing>
          <wp:anchor distT="0" distB="0" distL="114300" distR="114300" simplePos="0" relativeHeight="251671040" behindDoc="0" locked="0" layoutInCell="1" allowOverlap="1" wp14:anchorId="774BC5A1" wp14:editId="0C591E5F">
            <wp:simplePos x="0" y="0"/>
            <wp:positionH relativeFrom="column">
              <wp:posOffset>-2449</wp:posOffset>
            </wp:positionH>
            <wp:positionV relativeFrom="paragraph">
              <wp:posOffset>-1996</wp:posOffset>
            </wp:positionV>
            <wp:extent cx="2753995" cy="2851785"/>
            <wp:effectExtent l="0" t="0" r="8255" b="5715"/>
            <wp:wrapSquare wrapText="bothSides"/>
            <wp:docPr id="27" name="Imagem 27" descr="https://entib.org.br/entib/imagens/FAML_M1_A04_2.2_regul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tib.org.br/entib/imagens/FAML_M1_A04_2.2_regulament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3995"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67875" w:rsidRPr="00767875">
        <w:rPr>
          <w:rFonts w:asciiTheme="majorHAnsi" w:hAnsiTheme="majorHAnsi" w:cstheme="majorHAnsi"/>
        </w:rPr>
        <w:t>Os regulamentos técnicos podem estabelecer em detalhes as características técnicas exigidas para os produtos, pôr em vigor os métodos de en</w:t>
      </w:r>
      <w:r w:rsidR="00767875">
        <w:rPr>
          <w:rFonts w:asciiTheme="majorHAnsi" w:hAnsiTheme="majorHAnsi" w:cstheme="majorHAnsi"/>
        </w:rPr>
        <w:t>saio e outros requisitos técni</w:t>
      </w:r>
      <w:r w:rsidR="00767875" w:rsidRPr="00767875">
        <w:rPr>
          <w:rFonts w:asciiTheme="majorHAnsi" w:hAnsiTheme="majorHAnsi" w:cstheme="majorHAnsi"/>
        </w:rPr>
        <w:t>cos necessários à aplicação do regulamento ou, então, recorrer às normas técnicas com esse fim. Ainda que seja considerada uma boa prática internacional de regulamentação, cabe ao órgão regulamentador decidir se convém ou não utilizar as normas técnicas.</w:t>
      </w:r>
    </w:p>
    <w:p w14:paraId="2C2029A6" w14:textId="675B8DDE" w:rsidR="00767875" w:rsidRP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Ao considerar o uso de normas técnicas uma das bases para a regulamentação, é</w:t>
      </w:r>
      <w:r>
        <w:rPr>
          <w:rFonts w:asciiTheme="majorHAnsi" w:hAnsiTheme="majorHAnsi" w:cstheme="majorHAnsi"/>
        </w:rPr>
        <w:t xml:space="preserve"> </w:t>
      </w:r>
      <w:r w:rsidRPr="00767875">
        <w:rPr>
          <w:rFonts w:asciiTheme="majorHAnsi" w:hAnsiTheme="majorHAnsi" w:cstheme="majorHAnsi"/>
        </w:rPr>
        <w:t>importante fazer uma análise crítica de seu conteúdo, de forma a assegurar que ela contenha soluções apropriadas para atender às fina</w:t>
      </w:r>
      <w:r w:rsidR="0082206E">
        <w:rPr>
          <w:rFonts w:asciiTheme="majorHAnsi" w:hAnsiTheme="majorHAnsi" w:cstheme="majorHAnsi"/>
        </w:rPr>
        <w:t>lidades do regulamento técnico.</w:t>
      </w:r>
    </w:p>
    <w:p w14:paraId="0BB46272" w14:textId="447E95E9" w:rsidR="00767875" w:rsidRP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Em virtude das circunstâncias do problema que se pretende resolver com a regulamentação, pode ser que os requisitos estabelecidos nas normas técnicas não sejam os mais adequados, por motivo de defasagem tecnológica ou por diferenças decorrentes de características geológicas, climáticas, entre outras. Nesse caso, pode ser necessário que o órgão regulamentador elabore um documento de adequação (“</w:t>
      </w:r>
      <w:proofErr w:type="spellStart"/>
      <w:r w:rsidRPr="00767875">
        <w:rPr>
          <w:rFonts w:asciiTheme="majorHAnsi" w:hAnsiTheme="majorHAnsi" w:cstheme="majorHAnsi"/>
        </w:rPr>
        <w:t>tailoring</w:t>
      </w:r>
      <w:proofErr w:type="spellEnd"/>
      <w:r w:rsidRPr="00767875">
        <w:rPr>
          <w:rFonts w:asciiTheme="majorHAnsi" w:hAnsiTheme="majorHAnsi" w:cstheme="majorHAnsi"/>
        </w:rPr>
        <w:t>”) de uma norma existente ou desenvolva, ele</w:t>
      </w:r>
      <w:r w:rsidR="0082206E">
        <w:rPr>
          <w:rFonts w:asciiTheme="majorHAnsi" w:hAnsiTheme="majorHAnsi" w:cstheme="majorHAnsi"/>
        </w:rPr>
        <w:t xml:space="preserve"> mesmo, os requisitos técnicos.</w:t>
      </w:r>
    </w:p>
    <w:p w14:paraId="5B389BAC" w14:textId="79AD8F70" w:rsidR="00767875" w:rsidRP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 xml:space="preserve">O regulamento técnico pode usar uma ou mais normas técnicas como base para seus requisitos ou parte deles. O regulamentador pode também estabelecer diretamente outros requisitos que não estejam </w:t>
      </w:r>
      <w:r w:rsidR="0082206E">
        <w:rPr>
          <w:rFonts w:asciiTheme="majorHAnsi" w:hAnsiTheme="majorHAnsi" w:cstheme="majorHAnsi"/>
        </w:rPr>
        <w:t>cobertos pelas normas técnicas.</w:t>
      </w:r>
    </w:p>
    <w:p w14:paraId="2DB1C4FB" w14:textId="3E2FA413" w:rsid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lastRenderedPageBreak/>
        <w:t>Como a autoridade tem responsabilidades sobre o objeto da regulamentação, existe a preocupação de garantir que os requisitos técnicos estabelecidos sejam os apropriados para assegurar os resultados pretendido</w:t>
      </w:r>
      <w:r w:rsidR="0082206E">
        <w:rPr>
          <w:rFonts w:asciiTheme="majorHAnsi" w:hAnsiTheme="majorHAnsi" w:cstheme="majorHAnsi"/>
        </w:rPr>
        <w:t>s com a regulamentação técnica.</w:t>
      </w:r>
    </w:p>
    <w:p w14:paraId="62D9683D" w14:textId="6F0AAACE" w:rsidR="00767875" w:rsidRP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Tendo em vista que as autoridades regulamentadora</w:t>
      </w:r>
      <w:r w:rsidR="00812B7B">
        <w:rPr>
          <w:rFonts w:asciiTheme="majorHAnsi" w:hAnsiTheme="majorHAnsi" w:cstheme="majorHAnsi"/>
        </w:rPr>
        <w:t>s não têm controle sobre o pro</w:t>
      </w:r>
      <w:r w:rsidRPr="00767875">
        <w:rPr>
          <w:rFonts w:asciiTheme="majorHAnsi" w:hAnsiTheme="majorHAnsi" w:cstheme="majorHAnsi"/>
        </w:rPr>
        <w:t>cesso de normalização, os requisitos estabelecidos nas normas podem não ser apropriados para o regulamento técnico. Essa é uma das razões que tornam importante o envolvimento da autoridade regulamentadora no processo de elaboração e manutenção dessas normas e da análise crítica prévia da base normativa. Recomenda-se a participação das autoridades regulamentadoras no processo de normalização quando as normas são usadas como uma das formas de fornecer a base técnica para o atendimento à</w:t>
      </w:r>
      <w:r>
        <w:rPr>
          <w:rFonts w:asciiTheme="majorHAnsi" w:hAnsiTheme="majorHAnsi" w:cstheme="majorHAnsi"/>
        </w:rPr>
        <w:t xml:space="preserve"> </w:t>
      </w:r>
      <w:r w:rsidRPr="00767875">
        <w:rPr>
          <w:rFonts w:asciiTheme="majorHAnsi" w:hAnsiTheme="majorHAnsi" w:cstheme="majorHAnsi"/>
        </w:rPr>
        <w:t>regulamentação técnica. A autoridade pode deixar claro que, se a norma técnica não</w:t>
      </w:r>
      <w:r>
        <w:rPr>
          <w:rFonts w:asciiTheme="majorHAnsi" w:hAnsiTheme="majorHAnsi" w:cstheme="majorHAnsi"/>
        </w:rPr>
        <w:t xml:space="preserve"> </w:t>
      </w:r>
      <w:r w:rsidRPr="00767875">
        <w:rPr>
          <w:rFonts w:asciiTheme="majorHAnsi" w:hAnsiTheme="majorHAnsi" w:cstheme="majorHAnsi"/>
        </w:rPr>
        <w:t>atender as suas necessidades, não a usará como uma das bases para a regulamentação técnica. No entanto, mesmo que não participe ativamente, é altamente recomendável que a autoridade regulamentadora acompanhe o desenvolvimento e a atualização das normas.</w:t>
      </w:r>
    </w:p>
    <w:p w14:paraId="4980E000" w14:textId="77777777" w:rsidR="00767875" w:rsidRPr="00767875" w:rsidRDefault="00767875" w:rsidP="00EA63CA">
      <w:pPr>
        <w:spacing w:before="120" w:after="240" w:line="360" w:lineRule="auto"/>
        <w:jc w:val="both"/>
        <w:rPr>
          <w:rFonts w:asciiTheme="majorHAnsi" w:hAnsiTheme="majorHAnsi" w:cstheme="majorHAnsi"/>
        </w:rPr>
      </w:pPr>
    </w:p>
    <w:p w14:paraId="518F8AEF" w14:textId="47E4DCF6" w:rsidR="00767875" w:rsidRPr="001F4EDA" w:rsidRDefault="0082206E" w:rsidP="001F4EDA">
      <w:pPr>
        <w:pStyle w:val="Ttulo2"/>
        <w:numPr>
          <w:ilvl w:val="1"/>
          <w:numId w:val="13"/>
        </w:numPr>
        <w:tabs>
          <w:tab w:val="left" w:pos="567"/>
        </w:tabs>
        <w:spacing w:before="120" w:beforeAutospacing="0" w:after="240" w:afterAutospacing="0" w:line="360" w:lineRule="auto"/>
        <w:ind w:left="0" w:firstLine="0"/>
      </w:pPr>
      <w:bookmarkStart w:id="16" w:name="_Toc26001161"/>
      <w:r w:rsidRPr="001F4EDA">
        <w:t>Implantação assistida</w:t>
      </w:r>
      <w:bookmarkEnd w:id="16"/>
    </w:p>
    <w:p w14:paraId="2EA58979" w14:textId="31FDB437" w:rsidR="003E12E5" w:rsidRPr="00767875" w:rsidRDefault="003E12E5" w:rsidP="00EA63CA">
      <w:pPr>
        <w:spacing w:before="120" w:after="240" w:line="360" w:lineRule="auto"/>
        <w:jc w:val="both"/>
        <w:rPr>
          <w:rFonts w:asciiTheme="majorHAnsi" w:hAnsiTheme="majorHAnsi" w:cstheme="majorHAnsi"/>
        </w:rPr>
      </w:pPr>
      <w:r>
        <w:rPr>
          <w:noProof/>
          <w:lang w:eastAsia="pt-BR"/>
        </w:rPr>
        <w:drawing>
          <wp:anchor distT="0" distB="0" distL="114300" distR="114300" simplePos="0" relativeHeight="251672064" behindDoc="0" locked="0" layoutInCell="1" allowOverlap="1" wp14:anchorId="028733E4" wp14:editId="24EF827F">
            <wp:simplePos x="0" y="0"/>
            <wp:positionH relativeFrom="margin">
              <wp:posOffset>65314</wp:posOffset>
            </wp:positionH>
            <wp:positionV relativeFrom="paragraph">
              <wp:posOffset>494302</wp:posOffset>
            </wp:positionV>
            <wp:extent cx="3140710" cy="1981200"/>
            <wp:effectExtent l="0" t="0" r="2540" b="0"/>
            <wp:wrapSquare wrapText="bothSides"/>
            <wp:docPr id="28" name="Imagem 28" descr="https://entib.org.br/entib/imagens/FAML_M1_A04_2.3_boasPrat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tib.org.br/entib/imagens/FAML_M1_A04_2.3_boasPratica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071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875" w:rsidRPr="00767875">
        <w:rPr>
          <w:rFonts w:asciiTheme="majorHAnsi" w:hAnsiTheme="majorHAnsi" w:cstheme="majorHAnsi"/>
        </w:rPr>
        <w:t>Segundo o Guia de Boas Práticas de Regulamentação, a experiência tem mostrado que é apropriado estabelecer ações para promover e facilitar a implantação dos regulamentos, o que pode ser classificado como implantação assistida. Trata-se de um processo planejado, que se baseia na articulação proativa da autoridade regulamentadora com as partes interessadas.</w:t>
      </w:r>
    </w:p>
    <w:p w14:paraId="2F740A7A" w14:textId="7E678B71" w:rsid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Essa articulação inclui a previsão de medidas de divulgação, abrangendo os diversos órgãos do governo envolvidos, e também outros atores, em particular as entidades empresariais, os órgãos de fomento e as ONGs com papel relevante na área. Convém que o processo de divulgação às partes interessadas se inicie já nos pr</w:t>
      </w:r>
      <w:r w:rsidR="0082206E">
        <w:rPr>
          <w:rFonts w:asciiTheme="majorHAnsi" w:hAnsiTheme="majorHAnsi" w:cstheme="majorHAnsi"/>
        </w:rPr>
        <w:t>imeiros estudos do regulamento.</w:t>
      </w:r>
    </w:p>
    <w:p w14:paraId="33102BA2" w14:textId="2CABCBEC" w:rsidR="00767875" w:rsidRPr="00767875" w:rsidRDefault="003E12E5" w:rsidP="00EA63CA">
      <w:pPr>
        <w:spacing w:before="120" w:after="240" w:line="360" w:lineRule="auto"/>
        <w:jc w:val="both"/>
        <w:rPr>
          <w:rFonts w:asciiTheme="majorHAnsi" w:hAnsiTheme="majorHAnsi" w:cstheme="majorHAnsi"/>
        </w:rPr>
      </w:pPr>
      <w:r>
        <w:rPr>
          <w:noProof/>
          <w:lang w:eastAsia="pt-BR"/>
        </w:rPr>
        <w:lastRenderedPageBreak/>
        <w:drawing>
          <wp:anchor distT="0" distB="0" distL="114300" distR="114300" simplePos="0" relativeHeight="251673088" behindDoc="0" locked="0" layoutInCell="1" allowOverlap="1" wp14:anchorId="23D98C14" wp14:editId="3D89D632">
            <wp:simplePos x="0" y="0"/>
            <wp:positionH relativeFrom="margin">
              <wp:align>left</wp:align>
            </wp:positionH>
            <wp:positionV relativeFrom="paragraph">
              <wp:posOffset>3175</wp:posOffset>
            </wp:positionV>
            <wp:extent cx="3202305" cy="2133600"/>
            <wp:effectExtent l="0" t="0" r="0" b="0"/>
            <wp:wrapSquare wrapText="bothSides"/>
            <wp:docPr id="29" name="Imagem 29" descr="https://entib.org.br/entib/imagens/FAML_M1_A04_2.3_trein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tib.org.br/entib/imagens/FAML_M1_A04_2.3_treinament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3836" cy="2140902"/>
                    </a:xfrm>
                    <a:prstGeom prst="rect">
                      <a:avLst/>
                    </a:prstGeom>
                    <a:noFill/>
                    <a:ln>
                      <a:noFill/>
                    </a:ln>
                  </pic:spPr>
                </pic:pic>
              </a:graphicData>
            </a:graphic>
            <wp14:sizeRelH relativeFrom="page">
              <wp14:pctWidth>0</wp14:pctWidth>
            </wp14:sizeRelH>
            <wp14:sizeRelV relativeFrom="page">
              <wp14:pctHeight>0</wp14:pctHeight>
            </wp14:sizeRelV>
          </wp:anchor>
        </w:drawing>
      </w:r>
      <w:r w:rsidR="00767875" w:rsidRPr="00767875">
        <w:rPr>
          <w:rFonts w:asciiTheme="majorHAnsi" w:hAnsiTheme="majorHAnsi" w:cstheme="majorHAnsi"/>
        </w:rPr>
        <w:t>No caso das micro e pequenas empresas, é importan</w:t>
      </w:r>
      <w:r w:rsidR="00812B7B">
        <w:rPr>
          <w:rFonts w:asciiTheme="majorHAnsi" w:hAnsiTheme="majorHAnsi" w:cstheme="majorHAnsi"/>
        </w:rPr>
        <w:t>te ter em mente que não é sufi</w:t>
      </w:r>
      <w:r w:rsidR="00767875" w:rsidRPr="00767875">
        <w:rPr>
          <w:rFonts w:asciiTheme="majorHAnsi" w:hAnsiTheme="majorHAnsi" w:cstheme="majorHAnsi"/>
        </w:rPr>
        <w:t>ciente fazer chegar-lhes a informação. É necessário ajudá-las a process</w:t>
      </w:r>
      <w:r w:rsidR="00F6425E">
        <w:rPr>
          <w:rFonts w:asciiTheme="majorHAnsi" w:hAnsiTheme="majorHAnsi" w:cstheme="majorHAnsi"/>
        </w:rPr>
        <w:t>ar esta informação</w:t>
      </w:r>
      <w:r w:rsidR="00767875" w:rsidRPr="00767875">
        <w:rPr>
          <w:rFonts w:asciiTheme="majorHAnsi" w:hAnsiTheme="majorHAnsi" w:cstheme="majorHAnsi"/>
        </w:rPr>
        <w:t>, de forma que objetivamente se adaptem aos requisitos do regulamento. Também é necessário evitar que elas sejam surpreendidas com o regulam</w:t>
      </w:r>
      <w:r w:rsidR="00767875">
        <w:rPr>
          <w:rFonts w:asciiTheme="majorHAnsi" w:hAnsiTheme="majorHAnsi" w:cstheme="majorHAnsi"/>
        </w:rPr>
        <w:t>ento no momento em que a fisca</w:t>
      </w:r>
      <w:r w:rsidR="0082206E">
        <w:rPr>
          <w:rFonts w:asciiTheme="majorHAnsi" w:hAnsiTheme="majorHAnsi" w:cstheme="majorHAnsi"/>
        </w:rPr>
        <w:t>lização “bater à porta”.</w:t>
      </w:r>
    </w:p>
    <w:p w14:paraId="6626A94F" w14:textId="534DC82B" w:rsidR="00767875" w:rsidRP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 xml:space="preserve">Por meio desse processo, pode-se estimular e articular </w:t>
      </w:r>
      <w:r>
        <w:rPr>
          <w:rFonts w:asciiTheme="majorHAnsi" w:hAnsiTheme="majorHAnsi" w:cstheme="majorHAnsi"/>
        </w:rPr>
        <w:t xml:space="preserve">ações de apoio à implantação da </w:t>
      </w:r>
      <w:r w:rsidRPr="00767875">
        <w:rPr>
          <w:rFonts w:asciiTheme="majorHAnsi" w:hAnsiTheme="majorHAnsi" w:cstheme="majorHAnsi"/>
        </w:rPr>
        <w:t xml:space="preserve">regulamentação para aqueles que devem cumpri-la, </w:t>
      </w:r>
      <w:r>
        <w:rPr>
          <w:rFonts w:asciiTheme="majorHAnsi" w:hAnsiTheme="majorHAnsi" w:cstheme="majorHAnsi"/>
        </w:rPr>
        <w:t>estabelecendo medidas e mecanis</w:t>
      </w:r>
      <w:r w:rsidRPr="00767875">
        <w:rPr>
          <w:rFonts w:asciiTheme="majorHAnsi" w:hAnsiTheme="majorHAnsi" w:cstheme="majorHAnsi"/>
        </w:rPr>
        <w:t>mos de apoio ao entendimento do regulamento, da capacitação, da assistência técnica, bem como de ações de sensibilização e conscientização de fabricantes, consumidores e outras partes interessadas, envolvendo-as nas consultas públicas dos regulamentos.</w:t>
      </w:r>
    </w:p>
    <w:p w14:paraId="749272B5" w14:textId="77777777" w:rsidR="00767875" w:rsidRP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No Inmetro, no campo da avaliação da conformidade, esse processo é denominado implantação assistida de Programas de Avaliação da Conformidade e é coordenado pela Diretoria de Avaliação da Conformidade (</w:t>
      </w:r>
      <w:proofErr w:type="spellStart"/>
      <w:r w:rsidRPr="00767875">
        <w:rPr>
          <w:rFonts w:asciiTheme="majorHAnsi" w:hAnsiTheme="majorHAnsi" w:cstheme="majorHAnsi"/>
        </w:rPr>
        <w:t>Dconf</w:t>
      </w:r>
      <w:proofErr w:type="spellEnd"/>
      <w:r w:rsidRPr="00767875">
        <w:rPr>
          <w:rFonts w:asciiTheme="majorHAnsi" w:hAnsiTheme="majorHAnsi" w:cstheme="majorHAnsi"/>
        </w:rPr>
        <w:t>).</w:t>
      </w:r>
    </w:p>
    <w:p w14:paraId="31476E62" w14:textId="77777777" w:rsidR="00767875" w:rsidRP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 xml:space="preserve"> </w:t>
      </w:r>
    </w:p>
    <w:p w14:paraId="51743B21" w14:textId="6A0502BE" w:rsidR="00767875" w:rsidRPr="00767875" w:rsidRDefault="00767875" w:rsidP="001F4EDA">
      <w:pPr>
        <w:pStyle w:val="Ttulo2"/>
        <w:numPr>
          <w:ilvl w:val="1"/>
          <w:numId w:val="13"/>
        </w:numPr>
        <w:tabs>
          <w:tab w:val="left" w:pos="567"/>
        </w:tabs>
        <w:spacing w:before="120" w:beforeAutospacing="0" w:after="240" w:afterAutospacing="0" w:line="360" w:lineRule="auto"/>
        <w:ind w:left="0" w:firstLine="0"/>
      </w:pPr>
      <w:bookmarkStart w:id="17" w:name="_Toc26001162"/>
      <w:r>
        <w:t>Acompanhamento no mercado</w:t>
      </w:r>
      <w:bookmarkEnd w:id="17"/>
    </w:p>
    <w:p w14:paraId="060A1DF3" w14:textId="693614DE" w:rsidR="00767875" w:rsidRPr="003E12E5" w:rsidRDefault="00767875" w:rsidP="00EA63CA">
      <w:pPr>
        <w:spacing w:before="120" w:after="240" w:line="360" w:lineRule="auto"/>
        <w:jc w:val="both"/>
        <w:rPr>
          <w:rFonts w:asciiTheme="majorHAnsi" w:hAnsiTheme="majorHAnsi" w:cstheme="majorHAnsi"/>
          <w:b/>
          <w:color w:val="E1B937"/>
        </w:rPr>
      </w:pPr>
      <w:r w:rsidRPr="003E12E5">
        <w:rPr>
          <w:rFonts w:asciiTheme="majorHAnsi" w:hAnsiTheme="majorHAnsi" w:cstheme="majorHAnsi"/>
          <w:b/>
          <w:color w:val="E1B937"/>
        </w:rPr>
        <w:t>Fiscalização</w:t>
      </w:r>
    </w:p>
    <w:p w14:paraId="558DBB29" w14:textId="056FE56B" w:rsidR="00767875" w:rsidRPr="00767875" w:rsidRDefault="003E12E5" w:rsidP="00EA63CA">
      <w:pPr>
        <w:spacing w:before="120" w:after="240" w:line="360" w:lineRule="auto"/>
        <w:jc w:val="both"/>
        <w:rPr>
          <w:rFonts w:asciiTheme="majorHAnsi" w:hAnsiTheme="majorHAnsi" w:cstheme="majorHAnsi"/>
        </w:rPr>
      </w:pPr>
      <w:r>
        <w:rPr>
          <w:noProof/>
          <w:lang w:eastAsia="pt-BR"/>
        </w:rPr>
        <w:drawing>
          <wp:anchor distT="0" distB="0" distL="114300" distR="114300" simplePos="0" relativeHeight="251674112" behindDoc="0" locked="0" layoutInCell="1" allowOverlap="1" wp14:anchorId="3B5E536E" wp14:editId="18384089">
            <wp:simplePos x="0" y="0"/>
            <wp:positionH relativeFrom="column">
              <wp:posOffset>-24765</wp:posOffset>
            </wp:positionH>
            <wp:positionV relativeFrom="paragraph">
              <wp:posOffset>298450</wp:posOffset>
            </wp:positionV>
            <wp:extent cx="3265805" cy="1719580"/>
            <wp:effectExtent l="0" t="0" r="0" b="0"/>
            <wp:wrapSquare wrapText="bothSides"/>
            <wp:docPr id="30" name="Imagem 30" descr="https://entib.org.br/entib/imagens/FAML_M1_A04_2.4_LI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tib.org.br/entib/imagens/FAML_M1_A04_2.4_LIUP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5805"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875" w:rsidRPr="00767875">
        <w:rPr>
          <w:rFonts w:asciiTheme="majorHAnsi" w:hAnsiTheme="majorHAnsi" w:cstheme="majorHAnsi"/>
        </w:rPr>
        <w:t>A fiscalização é uma atividade essencial para a implantação efetiva da regulamentação técnica. Seu objetivo, em termos gerais, é acompanhar se a regulamentação em vigor está sendo cumprida, de forma a prevenir que prod</w:t>
      </w:r>
      <w:r w:rsidR="00767875">
        <w:rPr>
          <w:rFonts w:asciiTheme="majorHAnsi" w:hAnsiTheme="majorHAnsi" w:cstheme="majorHAnsi"/>
        </w:rPr>
        <w:t xml:space="preserve">utos e serviços que não atendam </w:t>
      </w:r>
      <w:r w:rsidR="00767875" w:rsidRPr="00767875">
        <w:rPr>
          <w:rFonts w:asciiTheme="majorHAnsi" w:hAnsiTheme="majorHAnsi" w:cstheme="majorHAnsi"/>
        </w:rPr>
        <w:t>aos requisitos estabelecidos sejam postos no mercado ou utilizados, colocando em</w:t>
      </w:r>
      <w:r w:rsidR="00767875">
        <w:rPr>
          <w:rFonts w:asciiTheme="majorHAnsi" w:hAnsiTheme="majorHAnsi" w:cstheme="majorHAnsi"/>
        </w:rPr>
        <w:t xml:space="preserve"> </w:t>
      </w:r>
      <w:r w:rsidR="00767875" w:rsidRPr="00767875">
        <w:rPr>
          <w:rFonts w:asciiTheme="majorHAnsi" w:hAnsiTheme="majorHAnsi" w:cstheme="majorHAnsi"/>
        </w:rPr>
        <w:t>risco a saúde e a segurança dos cidadãos e a concorrênc</w:t>
      </w:r>
      <w:r w:rsidR="0082206E">
        <w:rPr>
          <w:rFonts w:asciiTheme="majorHAnsi" w:hAnsiTheme="majorHAnsi" w:cstheme="majorHAnsi"/>
        </w:rPr>
        <w:t>ia justa entre os fornecedores.</w:t>
      </w:r>
    </w:p>
    <w:p w14:paraId="19CBF7EF" w14:textId="4C922FB1" w:rsidR="00767875" w:rsidRP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lastRenderedPageBreak/>
        <w:t xml:space="preserve">Quando a legislação permite, as autoridades envolvidas na fiscalização podem não ser exatamente as mesmas que desenvolveram e publicaram a regulamentação técnica. Nesse caso, arranjos institucionais viabilizam a delegação da fiscalização, sendo o órgão ao qual ela é delegada, obrigatoriamente, uma entidade pública, por se tratar do poder de polícia administrativa do Estado. É possível, inclusive, que a fiscalização seja delegada a entidades de outro nível de poder, no âmbito dos Estados ou dos municípios. É importante, sobretudo nesse caso, que a autoridade regulamentadora elabore e padronize procedimentos específicos para orientar a execução das ações de fiscalização, com vistas à eficiência e à eficácia destas, e também capacite e habilite </w:t>
      </w:r>
      <w:r w:rsidR="0082206E">
        <w:rPr>
          <w:rFonts w:asciiTheme="majorHAnsi" w:hAnsiTheme="majorHAnsi" w:cstheme="majorHAnsi"/>
        </w:rPr>
        <w:t>os respectivos agentes fiscais.</w:t>
      </w:r>
    </w:p>
    <w:p w14:paraId="6D714895" w14:textId="0A42C1F2" w:rsidR="00804F82"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As ações de fiscalização têm foco no aspecto formal (na presença das marcações obriga- tórias) e podem ocorrer em qualquer etapa da cadeia de fornecimento de um produto, ou seja, varejo, fábrica, distribuidor, importador e área alfandegada, sendo esta última condicionada a uma articulação prévia com a Receita Federal do Brasil.</w:t>
      </w:r>
    </w:p>
    <w:p w14:paraId="7BB3E204" w14:textId="4A0F0289" w:rsidR="00767875" w:rsidRPr="003E12E5" w:rsidRDefault="00767875" w:rsidP="00EA63CA">
      <w:pPr>
        <w:spacing w:before="120" w:after="240" w:line="360" w:lineRule="auto"/>
        <w:jc w:val="both"/>
        <w:rPr>
          <w:rFonts w:asciiTheme="majorHAnsi" w:hAnsiTheme="majorHAnsi" w:cstheme="majorHAnsi"/>
          <w:b/>
          <w:color w:val="E1B937"/>
        </w:rPr>
      </w:pPr>
      <w:r w:rsidRPr="003E12E5">
        <w:rPr>
          <w:rFonts w:asciiTheme="majorHAnsi" w:hAnsiTheme="majorHAnsi" w:cstheme="majorHAnsi"/>
          <w:b/>
          <w:color w:val="E1B937"/>
        </w:rPr>
        <w:t>Verificação da conformidade</w:t>
      </w:r>
    </w:p>
    <w:p w14:paraId="01B13316" w14:textId="3CE11610" w:rsidR="00767875" w:rsidRPr="00767875" w:rsidRDefault="003E12E5" w:rsidP="00EA63CA">
      <w:pPr>
        <w:spacing w:before="120" w:after="240" w:line="360" w:lineRule="auto"/>
        <w:jc w:val="both"/>
        <w:rPr>
          <w:rFonts w:asciiTheme="majorHAnsi" w:hAnsiTheme="majorHAnsi" w:cstheme="majorHAnsi"/>
        </w:rPr>
      </w:pPr>
      <w:r>
        <w:rPr>
          <w:noProof/>
          <w:lang w:eastAsia="pt-BR"/>
        </w:rPr>
        <w:drawing>
          <wp:anchor distT="0" distB="0" distL="114300" distR="114300" simplePos="0" relativeHeight="251675136" behindDoc="0" locked="0" layoutInCell="1" allowOverlap="1" wp14:anchorId="70266858" wp14:editId="18FECA74">
            <wp:simplePos x="0" y="0"/>
            <wp:positionH relativeFrom="margin">
              <wp:align>left</wp:align>
            </wp:positionH>
            <wp:positionV relativeFrom="paragraph">
              <wp:posOffset>3810</wp:posOffset>
            </wp:positionV>
            <wp:extent cx="3076575" cy="1730375"/>
            <wp:effectExtent l="0" t="0" r="9525" b="3175"/>
            <wp:wrapSquare wrapText="bothSides"/>
            <wp:docPr id="31" name="Imagem 31" descr="https://entib.org.br/entib/imagens/FAML_M1_A04_2.4_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tib.org.br/entib/imagens/FAML_M1_A04_2.4_A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7875" w:rsidRPr="00767875">
        <w:rPr>
          <w:rFonts w:asciiTheme="majorHAnsi" w:hAnsiTheme="majorHAnsi" w:cstheme="majorHAnsi"/>
        </w:rPr>
        <w:t>A verificação da conformidade é outra modalidade de acompanhamento no mercado. Diferentemente da fiscalização, visa predominantemente identificar não conformidades, como forma de estabelecer melhorias tanto no regul</w:t>
      </w:r>
      <w:r w:rsidR="00767875">
        <w:rPr>
          <w:rFonts w:asciiTheme="majorHAnsi" w:hAnsiTheme="majorHAnsi" w:cstheme="majorHAnsi"/>
        </w:rPr>
        <w:t>amento técnico quanto nos proce</w:t>
      </w:r>
      <w:r w:rsidR="00767875" w:rsidRPr="00767875">
        <w:rPr>
          <w:rFonts w:asciiTheme="majorHAnsi" w:hAnsiTheme="majorHAnsi" w:cstheme="majorHAnsi"/>
        </w:rPr>
        <w:t>dimentos de avaliação da conformidade adotados, por meio da realização de ensaios em amostras coletadas em qualquer uma das etapas da cadeia de fornecimento do produto.</w:t>
      </w:r>
    </w:p>
    <w:p w14:paraId="772388A6" w14:textId="77777777" w:rsidR="00656E11"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 xml:space="preserve">Por meio da verificação da conformidade, pode-se constatar não conformidades que tenham origem em deficiências: </w:t>
      </w:r>
    </w:p>
    <w:p w14:paraId="56172D79" w14:textId="77777777" w:rsidR="00656E11"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 xml:space="preserve">a) no regulamento técnico ou nas normas técnicas por ele referidas; </w:t>
      </w:r>
    </w:p>
    <w:p w14:paraId="55C0CBCA" w14:textId="77777777" w:rsidR="00656E11"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 xml:space="preserve">b) nos padrões metrológicos; </w:t>
      </w:r>
    </w:p>
    <w:p w14:paraId="016C8D4E" w14:textId="77777777" w:rsidR="00656E11"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 xml:space="preserve">c) na atuação dos organismos ou laboratórios acreditados/designados; </w:t>
      </w:r>
    </w:p>
    <w:p w14:paraId="4C64D60D" w14:textId="3C7588CE" w:rsidR="00767875" w:rsidRP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 xml:space="preserve">d) na atuação dos fornecedores; entre outras, e, a partir delas, adotar as medidas corretivas aplicáveis que podem variar desde o aperfeiçoamento das regras e dos requisitos definidos em um </w:t>
      </w:r>
      <w:r w:rsidRPr="00767875">
        <w:rPr>
          <w:rFonts w:asciiTheme="majorHAnsi" w:hAnsiTheme="majorHAnsi" w:cstheme="majorHAnsi"/>
        </w:rPr>
        <w:lastRenderedPageBreak/>
        <w:t>regulamento ou programa de avaliação da conformidade até a retirada do produto do mercado pelo fornecedor por meio da realização de campanhas de recall.</w:t>
      </w:r>
    </w:p>
    <w:p w14:paraId="36BDE900" w14:textId="040E2BC5" w:rsid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Normalmente, a atividade de acompanhamento no mercado dos produtos, serviços, bens, processos ou pessoas que constituem o objeto</w:t>
      </w:r>
      <w:r>
        <w:rPr>
          <w:rFonts w:asciiTheme="majorHAnsi" w:hAnsiTheme="majorHAnsi" w:cstheme="majorHAnsi"/>
        </w:rPr>
        <w:t xml:space="preserve"> da regulamentação é de respon</w:t>
      </w:r>
      <w:r w:rsidRPr="00767875">
        <w:rPr>
          <w:rFonts w:asciiTheme="majorHAnsi" w:hAnsiTheme="majorHAnsi" w:cstheme="majorHAnsi"/>
        </w:rPr>
        <w:t>sabilidade da autoridade regulamentadora, mas pode também ser conduzida por outras entidades públicas ou privadas de defesa dos consumidores ou da concorrência, com fins de aperfeiçoar o regulamento técnico ou os pro</w:t>
      </w:r>
      <w:r>
        <w:rPr>
          <w:rFonts w:asciiTheme="majorHAnsi" w:hAnsiTheme="majorHAnsi" w:cstheme="majorHAnsi"/>
        </w:rPr>
        <w:t>cedimentos de avaliação da con</w:t>
      </w:r>
      <w:r w:rsidRPr="00767875">
        <w:rPr>
          <w:rFonts w:asciiTheme="majorHAnsi" w:hAnsiTheme="majorHAnsi" w:cstheme="majorHAnsi"/>
        </w:rPr>
        <w:t>formidade. Por intermédio delas, a autoridade regulamentadora avalia o cumprimento efetivo dos regulamentos estabelecidos.</w:t>
      </w:r>
    </w:p>
    <w:p w14:paraId="1F84BAF5" w14:textId="7A936AC4" w:rsidR="00767875" w:rsidRP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 xml:space="preserve">Com a globalização dos mercados e a facilidade com que as mercadorias fluem entre os países, as ações classificadas como </w:t>
      </w:r>
      <w:proofErr w:type="spellStart"/>
      <w:r w:rsidRPr="00767875">
        <w:rPr>
          <w:rFonts w:asciiTheme="majorHAnsi" w:hAnsiTheme="majorHAnsi" w:cstheme="majorHAnsi"/>
        </w:rPr>
        <w:t>pré</w:t>
      </w:r>
      <w:proofErr w:type="spellEnd"/>
      <w:r w:rsidRPr="00767875">
        <w:rPr>
          <w:rFonts w:asciiTheme="majorHAnsi" w:hAnsiTheme="majorHAnsi" w:cstheme="majorHAnsi"/>
        </w:rPr>
        <w:t>-mercado, como a regulamentação técnica e a implantação de programas de avaliação da conformidade, passaram a não ser mais suficientes para agregar a confiança ao cumprimento dos requisitos de produtos e serviços. Dessa maneira, as autoridades regulamentadoras das principais economias do mundo passaram a investir no aperfeiçoamento e na intensificação das ações de acompanhamento no mercado e proporcionam uma oportunidade de avaliar a eficácia</w:t>
      </w:r>
      <w:r>
        <w:rPr>
          <w:rFonts w:asciiTheme="majorHAnsi" w:hAnsiTheme="majorHAnsi" w:cstheme="majorHAnsi"/>
        </w:rPr>
        <w:t xml:space="preserve"> </w:t>
      </w:r>
      <w:r w:rsidRPr="00767875">
        <w:rPr>
          <w:rFonts w:asciiTheme="majorHAnsi" w:hAnsiTheme="majorHAnsi" w:cstheme="majorHAnsi"/>
        </w:rPr>
        <w:t>da implantação da regulamentação.</w:t>
      </w:r>
    </w:p>
    <w:p w14:paraId="589DFB15" w14:textId="08896D8E" w:rsidR="00767875" w:rsidRDefault="00767875" w:rsidP="00EA63CA">
      <w:pPr>
        <w:spacing w:before="120" w:after="240" w:line="360" w:lineRule="auto"/>
        <w:jc w:val="both"/>
        <w:rPr>
          <w:rFonts w:asciiTheme="majorHAnsi" w:hAnsiTheme="majorHAnsi" w:cstheme="majorHAnsi"/>
        </w:rPr>
      </w:pPr>
      <w:r w:rsidRPr="00767875">
        <w:rPr>
          <w:rFonts w:asciiTheme="majorHAnsi" w:hAnsiTheme="majorHAnsi" w:cstheme="majorHAnsi"/>
        </w:rPr>
        <w:t>Quando se concebe o processo de implantação do regulamento, d</w:t>
      </w:r>
      <w:r>
        <w:rPr>
          <w:rFonts w:asciiTheme="majorHAnsi" w:hAnsiTheme="majorHAnsi" w:cstheme="majorHAnsi"/>
        </w:rPr>
        <w:t>eve-se prever a re</w:t>
      </w:r>
      <w:r w:rsidRPr="00767875">
        <w:rPr>
          <w:rFonts w:asciiTheme="majorHAnsi" w:hAnsiTheme="majorHAnsi" w:cstheme="majorHAnsi"/>
        </w:rPr>
        <w:t>alização de ações de acompanhamento no mercado, pl</w:t>
      </w:r>
      <w:r>
        <w:rPr>
          <w:rFonts w:asciiTheme="majorHAnsi" w:hAnsiTheme="majorHAnsi" w:cstheme="majorHAnsi"/>
        </w:rPr>
        <w:t>anejando esta atividade e esta</w:t>
      </w:r>
      <w:r w:rsidRPr="00767875">
        <w:rPr>
          <w:rFonts w:asciiTheme="majorHAnsi" w:hAnsiTheme="majorHAnsi" w:cstheme="majorHAnsi"/>
        </w:rPr>
        <w:t>belecendo os métodos apropriados para sua execução, bem como a responsabilidade e a autoridade dos órgãos envolvidos.</w:t>
      </w:r>
    </w:p>
    <w:p w14:paraId="2A2A4638" w14:textId="77777777" w:rsidR="00FB3C18" w:rsidRPr="003E12E5" w:rsidRDefault="00FB3C18" w:rsidP="00EA63CA">
      <w:pPr>
        <w:spacing w:before="120" w:after="240" w:line="360" w:lineRule="auto"/>
        <w:jc w:val="both"/>
        <w:rPr>
          <w:rFonts w:asciiTheme="majorHAnsi" w:hAnsiTheme="majorHAnsi" w:cstheme="majorHAnsi"/>
          <w:b/>
        </w:rPr>
      </w:pPr>
    </w:p>
    <w:p w14:paraId="105EF69B" w14:textId="01A0A15C" w:rsidR="00FB3C18" w:rsidRPr="003E12E5" w:rsidRDefault="00FB3C18" w:rsidP="00EA63CA">
      <w:pPr>
        <w:spacing w:before="120" w:after="240" w:line="360" w:lineRule="auto"/>
        <w:jc w:val="both"/>
        <w:rPr>
          <w:rFonts w:asciiTheme="majorHAnsi" w:hAnsiTheme="majorHAnsi" w:cstheme="majorHAnsi"/>
          <w:b/>
        </w:rPr>
      </w:pPr>
      <w:r w:rsidRPr="003E12E5">
        <w:rPr>
          <w:rFonts w:asciiTheme="majorHAnsi" w:hAnsiTheme="majorHAnsi" w:cstheme="majorHAnsi"/>
          <w:b/>
        </w:rPr>
        <w:t>E com isto concluímos nosso Curso</w:t>
      </w:r>
      <w:r w:rsidR="008355FB" w:rsidRPr="003E12E5">
        <w:rPr>
          <w:rFonts w:asciiTheme="majorHAnsi" w:hAnsiTheme="majorHAnsi" w:cstheme="majorHAnsi"/>
          <w:b/>
        </w:rPr>
        <w:t>!</w:t>
      </w:r>
      <w:r w:rsidRPr="003E12E5">
        <w:rPr>
          <w:rFonts w:asciiTheme="majorHAnsi" w:hAnsiTheme="majorHAnsi" w:cstheme="majorHAnsi"/>
          <w:b/>
        </w:rPr>
        <w:t xml:space="preserve"> </w:t>
      </w:r>
    </w:p>
    <w:p w14:paraId="5B9E2E0E" w14:textId="2D5FBBA3" w:rsidR="00D07BA2" w:rsidRPr="00AB5EB9" w:rsidRDefault="0006185F" w:rsidP="00D07BA2">
      <w:pPr>
        <w:spacing w:before="240" w:after="240" w:line="360" w:lineRule="auto"/>
        <w:jc w:val="both"/>
        <w:rPr>
          <w:rFonts w:asciiTheme="majorHAnsi" w:hAnsiTheme="majorHAnsi" w:cstheme="majorHAnsi"/>
        </w:rPr>
      </w:pPr>
      <w:r w:rsidRPr="001F4EDA">
        <w:rPr>
          <w:rFonts w:asciiTheme="majorHAnsi" w:hAnsiTheme="majorHAnsi" w:cstheme="majorHAnsi"/>
        </w:rPr>
        <w:t xml:space="preserve">Como </w:t>
      </w:r>
      <w:r w:rsidRPr="009216E4">
        <w:rPr>
          <w:rFonts w:asciiTheme="majorHAnsi" w:hAnsiTheme="majorHAnsi" w:cstheme="majorHAnsi"/>
        </w:rPr>
        <w:t xml:space="preserve">vimos, </w:t>
      </w:r>
      <w:r w:rsidR="00D07BA2" w:rsidRPr="009216E4">
        <w:rPr>
          <w:rFonts w:asciiTheme="majorHAnsi" w:hAnsiTheme="majorHAnsi" w:cstheme="majorHAnsi"/>
        </w:rPr>
        <w:t>Tecnologia</w:t>
      </w:r>
      <w:r w:rsidR="00D07BA2" w:rsidRPr="00AB5EB9">
        <w:rPr>
          <w:rFonts w:asciiTheme="majorHAnsi" w:hAnsiTheme="majorHAnsi" w:cstheme="majorHAnsi"/>
        </w:rPr>
        <w:t xml:space="preserve"> Industrial Básica</w:t>
      </w:r>
      <w:r w:rsidR="009216E4">
        <w:rPr>
          <w:rFonts w:asciiTheme="majorHAnsi" w:hAnsiTheme="majorHAnsi" w:cstheme="majorHAnsi"/>
        </w:rPr>
        <w:t xml:space="preserve"> </w:t>
      </w:r>
      <w:r w:rsidR="00D07BA2" w:rsidRPr="00AB5EB9">
        <w:rPr>
          <w:rFonts w:asciiTheme="majorHAnsi" w:hAnsiTheme="majorHAnsi" w:cstheme="majorHAnsi"/>
        </w:rPr>
        <w:t xml:space="preserve">é o nome dado, no Brasil, para o conjunto de atividades de padronização técnica utilizado por diversos setores da economia, que são essenciais para a geração e aprimoramento de produtos, processos e serviços que se destacam pela Qualidade e por constituírem com a Inovação no Mercado. </w:t>
      </w:r>
    </w:p>
    <w:p w14:paraId="5E59C7A5" w14:textId="77777777" w:rsidR="00D07BA2" w:rsidRPr="00AB5EB9" w:rsidRDefault="00D07BA2" w:rsidP="00D07BA2">
      <w:pPr>
        <w:spacing w:before="240" w:after="240" w:line="360" w:lineRule="auto"/>
        <w:jc w:val="both"/>
        <w:rPr>
          <w:rFonts w:asciiTheme="majorHAnsi" w:hAnsiTheme="majorHAnsi" w:cstheme="majorHAnsi"/>
        </w:rPr>
      </w:pPr>
      <w:r w:rsidRPr="00AB5EB9">
        <w:rPr>
          <w:rFonts w:asciiTheme="majorHAnsi" w:hAnsiTheme="majorHAnsi" w:cstheme="majorHAnsi"/>
        </w:rPr>
        <w:t>A TIB engloba as funções básicas do Sistema Nacional de Metrologia, Normalização e Qualidade Industrial – Sinmetro, bem como: metrologia, normalização, qualidade industrial, propriedade intelectual e informação tecnológica. E</w:t>
      </w:r>
      <w:r>
        <w:rPr>
          <w:rFonts w:asciiTheme="majorHAnsi" w:hAnsiTheme="majorHAnsi" w:cstheme="majorHAnsi"/>
        </w:rPr>
        <w:t>la envolve, e</w:t>
      </w:r>
      <w:r w:rsidRPr="00AB5EB9">
        <w:rPr>
          <w:rFonts w:asciiTheme="majorHAnsi" w:hAnsiTheme="majorHAnsi" w:cstheme="majorHAnsi"/>
        </w:rPr>
        <w:t>m especial o Instituto Nacional de Metrologia, Qualidade e Tecnologia - Inmetro, os laboratórios de calibrações e de ensaios, os Institutos Estaduais de Pesos e Medidas (IPEM), as Redes Metrológicas Estaduais, o Instituto Nacional de Propriedade Intelectual, os organismos de certificação acreditados, de inspeção e de treinamento e a Associação Brasileira de Normas Técnicas (ABNT).</w:t>
      </w:r>
    </w:p>
    <w:p w14:paraId="6289BF20" w14:textId="77777777" w:rsidR="00D07BA2" w:rsidRPr="00AB5EB9" w:rsidRDefault="00D07BA2" w:rsidP="00D07BA2">
      <w:pPr>
        <w:spacing w:before="240" w:after="240" w:line="360" w:lineRule="auto"/>
        <w:jc w:val="both"/>
        <w:rPr>
          <w:rFonts w:asciiTheme="majorHAnsi" w:hAnsiTheme="majorHAnsi" w:cstheme="majorHAnsi"/>
        </w:rPr>
      </w:pPr>
      <w:r w:rsidRPr="00AB5EB9">
        <w:rPr>
          <w:rFonts w:asciiTheme="majorHAnsi" w:hAnsiTheme="majorHAnsi" w:cstheme="majorHAnsi"/>
        </w:rPr>
        <w:lastRenderedPageBreak/>
        <w:t xml:space="preserve">Bom, quando falamos de padronização técnica, estamos falando em uma classe especial de regras, definidas pelos mais diversos tipos de organizações (públicas, privadas, civis, nacionais e internacionais). Esta padronização pode ser de caráter voluntário ou compulsório e seu objetivo principal é o estabelecimento de </w:t>
      </w:r>
      <w:r w:rsidRPr="00AB5EB9">
        <w:rPr>
          <w:rFonts w:asciiTheme="majorHAnsi" w:hAnsiTheme="majorHAnsi" w:cstheme="majorHAnsi"/>
          <w:u w:val="single"/>
        </w:rPr>
        <w:t>padrões</w:t>
      </w:r>
      <w:r w:rsidRPr="00AB5EB9">
        <w:rPr>
          <w:rFonts w:asciiTheme="majorHAnsi" w:hAnsiTheme="majorHAnsi" w:cstheme="majorHAnsi"/>
        </w:rPr>
        <w:t xml:space="preserve"> que possam ser reconhecidos em qualquer parte do mundo e por qualquer tipo de organização.</w:t>
      </w:r>
    </w:p>
    <w:p w14:paraId="2437807A" w14:textId="775F97AC" w:rsidR="00D07BA2" w:rsidRPr="00AB5EB9" w:rsidRDefault="00D07BA2" w:rsidP="00D07BA2">
      <w:pPr>
        <w:spacing w:before="240" w:after="240" w:line="360" w:lineRule="auto"/>
        <w:jc w:val="both"/>
        <w:rPr>
          <w:rFonts w:asciiTheme="majorHAnsi" w:hAnsiTheme="majorHAnsi" w:cstheme="majorHAnsi"/>
        </w:rPr>
      </w:pPr>
      <w:r w:rsidRPr="00AB5EB9">
        <w:rPr>
          <w:rFonts w:asciiTheme="majorHAnsi" w:hAnsiTheme="majorHAnsi" w:cstheme="majorHAnsi"/>
        </w:rPr>
        <w:t>Para que esses padrões possuam um adequado grau de confiança, eles precisam ser verificados, ou seja, comparados à alguma coisa e</w:t>
      </w:r>
      <w:r w:rsidR="009216E4">
        <w:rPr>
          <w:rFonts w:asciiTheme="majorHAnsi" w:hAnsiTheme="majorHAnsi" w:cstheme="majorHAnsi"/>
        </w:rPr>
        <w:t>,</w:t>
      </w:r>
      <w:r w:rsidRPr="00AB5EB9">
        <w:rPr>
          <w:rFonts w:asciiTheme="majorHAnsi" w:hAnsiTheme="majorHAnsi" w:cstheme="majorHAnsi"/>
        </w:rPr>
        <w:t xml:space="preserve"> é aí que entra a metrologia, a ciência que estuda as medições. </w:t>
      </w:r>
    </w:p>
    <w:p w14:paraId="00488C0F" w14:textId="77777777" w:rsidR="00D07BA2" w:rsidRPr="00AB5EB9" w:rsidRDefault="00D07BA2" w:rsidP="00D07BA2">
      <w:pPr>
        <w:spacing w:before="240" w:after="240" w:line="360" w:lineRule="auto"/>
        <w:jc w:val="both"/>
        <w:rPr>
          <w:rFonts w:asciiTheme="majorHAnsi" w:hAnsiTheme="majorHAnsi" w:cstheme="majorHAnsi"/>
        </w:rPr>
      </w:pPr>
      <w:r w:rsidRPr="00AB5EB9">
        <w:rPr>
          <w:rFonts w:asciiTheme="majorHAnsi" w:hAnsiTheme="majorHAnsi" w:cstheme="majorHAnsi"/>
        </w:rPr>
        <w:t>Por meio da metrologia</w:t>
      </w:r>
      <w:r>
        <w:rPr>
          <w:rFonts w:asciiTheme="majorHAnsi" w:hAnsiTheme="majorHAnsi" w:cstheme="majorHAnsi"/>
        </w:rPr>
        <w:t>,</w:t>
      </w:r>
      <w:r w:rsidRPr="00AB5EB9">
        <w:rPr>
          <w:rFonts w:asciiTheme="majorHAnsi" w:hAnsiTheme="majorHAnsi" w:cstheme="majorHAnsi"/>
        </w:rPr>
        <w:t xml:space="preserve"> a exatidão e a rastreabilidades das medições é assegurada, gerando </w:t>
      </w:r>
      <w:r>
        <w:rPr>
          <w:rFonts w:asciiTheme="majorHAnsi" w:hAnsiTheme="majorHAnsi" w:cstheme="majorHAnsi"/>
        </w:rPr>
        <w:t xml:space="preserve">maior </w:t>
      </w:r>
      <w:r w:rsidRPr="00AB5EB9">
        <w:rPr>
          <w:rFonts w:asciiTheme="majorHAnsi" w:hAnsiTheme="majorHAnsi" w:cstheme="majorHAnsi"/>
        </w:rPr>
        <w:t xml:space="preserve">confiança aos resultados das medições. E para fechar este conjunto de atividades, entra em ação a avaliação da conformidade, pois ela é quem assegura o cumprimento dos regulamentos e normas técnicas baseadas na metrologia.  A avaliação da conformidade envolve conceitos como por exemplo acreditação e certificação, conceitos esses, que afetam e muito o nosso cotidiano, mesmo que nem sempre a gente perceba. </w:t>
      </w:r>
    </w:p>
    <w:p w14:paraId="7A31D6B7" w14:textId="2723509E" w:rsidR="00D07BA2" w:rsidRDefault="002825BC" w:rsidP="00D07BA2">
      <w:pPr>
        <w:spacing w:before="240" w:after="240" w:line="360" w:lineRule="auto"/>
        <w:jc w:val="both"/>
        <w:rPr>
          <w:rFonts w:asciiTheme="majorHAnsi" w:hAnsiTheme="majorHAnsi" w:cstheme="majorHAnsi"/>
        </w:rPr>
      </w:pPr>
      <w:r>
        <w:rPr>
          <w:rFonts w:asciiTheme="majorHAnsi" w:hAnsiTheme="majorHAnsi" w:cstheme="majorHAnsi"/>
        </w:rPr>
        <w:t>O</w:t>
      </w:r>
      <w:r w:rsidR="0006185F">
        <w:rPr>
          <w:rFonts w:asciiTheme="majorHAnsi" w:hAnsiTheme="majorHAnsi" w:cstheme="majorHAnsi"/>
        </w:rPr>
        <w:t>s conteúdos apresentados durante o curso formam um</w:t>
      </w:r>
      <w:r w:rsidR="00D07BA2" w:rsidRPr="00AB5EB9">
        <w:rPr>
          <w:rFonts w:asciiTheme="majorHAnsi" w:hAnsiTheme="majorHAnsi" w:cstheme="majorHAnsi"/>
        </w:rPr>
        <w:t xml:space="preserve"> embasamento teórico essencial para </w:t>
      </w:r>
      <w:r>
        <w:rPr>
          <w:rFonts w:asciiTheme="majorHAnsi" w:hAnsiTheme="majorHAnsi" w:cstheme="majorHAnsi"/>
        </w:rPr>
        <w:t>a compreensão d</w:t>
      </w:r>
      <w:r w:rsidR="00D07BA2" w:rsidRPr="00AB5EB9">
        <w:rPr>
          <w:rFonts w:asciiTheme="majorHAnsi" w:hAnsiTheme="majorHAnsi" w:cstheme="majorHAnsi"/>
        </w:rPr>
        <w:t xml:space="preserve">os fundamentos </w:t>
      </w:r>
      <w:r w:rsidR="003C0615">
        <w:rPr>
          <w:rFonts w:asciiTheme="majorHAnsi" w:hAnsiTheme="majorHAnsi" w:cstheme="majorHAnsi"/>
        </w:rPr>
        <w:t xml:space="preserve">da </w:t>
      </w:r>
      <w:r w:rsidR="00D07BA2" w:rsidRPr="00AB5EB9">
        <w:rPr>
          <w:rFonts w:asciiTheme="majorHAnsi" w:hAnsiTheme="majorHAnsi" w:cstheme="majorHAnsi"/>
        </w:rPr>
        <w:t>Tecnologia Industrial Básica</w:t>
      </w:r>
      <w:r>
        <w:rPr>
          <w:rFonts w:asciiTheme="majorHAnsi" w:hAnsiTheme="majorHAnsi" w:cstheme="majorHAnsi"/>
        </w:rPr>
        <w:t xml:space="preserve">, </w:t>
      </w:r>
      <w:r w:rsidR="003C0615">
        <w:rPr>
          <w:rFonts w:asciiTheme="majorHAnsi" w:hAnsiTheme="majorHAnsi" w:cstheme="majorHAnsi"/>
        </w:rPr>
        <w:t xml:space="preserve">este conjunto de </w:t>
      </w:r>
      <w:r>
        <w:rPr>
          <w:rFonts w:asciiTheme="majorHAnsi" w:hAnsiTheme="majorHAnsi" w:cstheme="majorHAnsi"/>
        </w:rPr>
        <w:t xml:space="preserve">atividades </w:t>
      </w:r>
      <w:r w:rsidR="009216E4" w:rsidRPr="00AB5EB9">
        <w:rPr>
          <w:rFonts w:asciiTheme="majorHAnsi" w:hAnsiTheme="majorHAnsi" w:cstheme="majorHAnsi"/>
        </w:rPr>
        <w:t xml:space="preserve">essenciais para a geração e aprimoramento de produtos, processos e serviços que se destacam pela Qualidade e por constituírem com a Inovação no Mercado. </w:t>
      </w:r>
    </w:p>
    <w:p w14:paraId="50F59636" w14:textId="048C84BC" w:rsidR="00F47D5D" w:rsidRDefault="00F47D5D" w:rsidP="00D07BA2">
      <w:pPr>
        <w:spacing w:before="240" w:after="240" w:line="360" w:lineRule="auto"/>
        <w:jc w:val="both"/>
        <w:rPr>
          <w:rFonts w:asciiTheme="majorHAnsi" w:hAnsiTheme="majorHAnsi" w:cstheme="majorHAnsi"/>
        </w:rPr>
      </w:pPr>
      <w:r w:rsidRPr="00F47D5D">
        <w:rPr>
          <w:rFonts w:asciiTheme="majorHAnsi" w:hAnsiTheme="majorHAnsi" w:cstheme="majorHAnsi"/>
        </w:rPr>
        <w:t xml:space="preserve">Este curso é parte essencial para formação de um metrologista. É o primeiro módulo de 3. Caso você tenha interesse em realizar o curso completo, inscreva-se nos outros dois módulos disponíveis em nossa plataforma. São eles: </w:t>
      </w:r>
      <w:r w:rsidRPr="00F47D5D">
        <w:rPr>
          <w:rFonts w:asciiTheme="majorHAnsi" w:hAnsiTheme="majorHAnsi" w:cstheme="majorHAnsi"/>
          <w:b/>
        </w:rPr>
        <w:t>Medição e Metrologia Legal</w:t>
      </w:r>
      <w:r w:rsidRPr="00F47D5D">
        <w:rPr>
          <w:rFonts w:asciiTheme="majorHAnsi" w:hAnsiTheme="majorHAnsi" w:cstheme="majorHAnsi"/>
        </w:rPr>
        <w:t xml:space="preserve"> e</w:t>
      </w:r>
      <w:r w:rsidRPr="00F47D5D">
        <w:rPr>
          <w:rFonts w:asciiTheme="majorHAnsi" w:hAnsiTheme="majorHAnsi" w:cstheme="majorHAnsi"/>
          <w:b/>
        </w:rPr>
        <w:t xml:space="preserve"> Metrologia na Prática</w:t>
      </w:r>
      <w:r w:rsidRPr="00F47D5D">
        <w:rPr>
          <w:rFonts w:asciiTheme="majorHAnsi" w:hAnsiTheme="majorHAnsi" w:cstheme="majorHAnsi"/>
        </w:rPr>
        <w:t xml:space="preserve">. Realizando estes três módulos você receberá o certificado do </w:t>
      </w:r>
      <w:r w:rsidRPr="00F47D5D">
        <w:rPr>
          <w:rFonts w:asciiTheme="majorHAnsi" w:hAnsiTheme="majorHAnsi" w:cstheme="majorHAnsi"/>
          <w:b/>
        </w:rPr>
        <w:t>Curso de Formação de Metrologista com especialização em Metrologia Legal</w:t>
      </w:r>
      <w:r w:rsidRPr="00F47D5D">
        <w:rPr>
          <w:rFonts w:asciiTheme="majorHAnsi" w:hAnsiTheme="majorHAnsi" w:cstheme="majorHAnsi"/>
        </w:rPr>
        <w:t>!</w:t>
      </w:r>
    </w:p>
    <w:p w14:paraId="10D87B84" w14:textId="77777777" w:rsidR="00CE3860" w:rsidRDefault="00CE3860" w:rsidP="00D07BA2">
      <w:pPr>
        <w:spacing w:before="240" w:after="240" w:line="360" w:lineRule="auto"/>
        <w:jc w:val="both"/>
        <w:rPr>
          <w:rFonts w:asciiTheme="majorHAnsi" w:hAnsiTheme="majorHAnsi" w:cstheme="majorHAnsi"/>
        </w:rPr>
      </w:pPr>
    </w:p>
    <w:p w14:paraId="05008452" w14:textId="225DDE82" w:rsidR="00CE3860" w:rsidRDefault="00CE3860" w:rsidP="00D07BA2">
      <w:pPr>
        <w:spacing w:before="240" w:after="240" w:line="360" w:lineRule="auto"/>
        <w:jc w:val="both"/>
        <w:rPr>
          <w:rFonts w:asciiTheme="majorHAnsi" w:hAnsiTheme="majorHAnsi" w:cstheme="majorHAnsi"/>
        </w:rPr>
      </w:pPr>
      <w:r>
        <w:rPr>
          <w:rFonts w:asciiTheme="majorHAnsi" w:hAnsiTheme="majorHAnsi" w:cstheme="majorHAnsi"/>
        </w:rPr>
        <w:t>Esperamos que tenham gostado do curso!</w:t>
      </w:r>
    </w:p>
    <w:p w14:paraId="7FE10052" w14:textId="3408EAA2" w:rsidR="00CE3860" w:rsidRPr="00AB5EB9" w:rsidRDefault="00CE3860" w:rsidP="00D07BA2">
      <w:pPr>
        <w:spacing w:before="240" w:after="240" w:line="360" w:lineRule="auto"/>
        <w:jc w:val="both"/>
        <w:rPr>
          <w:rFonts w:asciiTheme="majorHAnsi" w:hAnsiTheme="majorHAnsi" w:cstheme="majorHAnsi"/>
        </w:rPr>
      </w:pPr>
      <w:r>
        <w:rPr>
          <w:rFonts w:asciiTheme="majorHAnsi" w:hAnsiTheme="majorHAnsi" w:cstheme="majorHAnsi"/>
        </w:rPr>
        <w:t>Até a próxima!</w:t>
      </w:r>
    </w:p>
    <w:p w14:paraId="1CD770AB" w14:textId="77777777" w:rsidR="00767875" w:rsidRDefault="00767875" w:rsidP="00EA63CA">
      <w:pPr>
        <w:spacing w:before="120" w:after="240" w:line="360" w:lineRule="auto"/>
        <w:jc w:val="both"/>
        <w:rPr>
          <w:rFonts w:asciiTheme="majorHAnsi" w:hAnsiTheme="majorHAnsi" w:cstheme="majorHAnsi"/>
        </w:rPr>
      </w:pPr>
    </w:p>
    <w:p w14:paraId="1542501A" w14:textId="77777777" w:rsidR="009501F7" w:rsidRDefault="009501F7" w:rsidP="00EA63CA">
      <w:pPr>
        <w:spacing w:before="120" w:after="240" w:line="360" w:lineRule="auto"/>
        <w:jc w:val="both"/>
        <w:rPr>
          <w:rFonts w:asciiTheme="majorHAnsi" w:hAnsiTheme="majorHAnsi" w:cstheme="majorHAnsi"/>
        </w:rPr>
      </w:pPr>
    </w:p>
    <w:p w14:paraId="15096EED" w14:textId="77777777" w:rsidR="009C4106" w:rsidRDefault="009C4106" w:rsidP="00EA63CA">
      <w:pPr>
        <w:spacing w:before="120" w:after="240" w:line="360" w:lineRule="auto"/>
        <w:jc w:val="both"/>
        <w:rPr>
          <w:rFonts w:asciiTheme="majorHAnsi" w:hAnsiTheme="majorHAnsi" w:cstheme="majorHAnsi"/>
        </w:rPr>
      </w:pPr>
    </w:p>
    <w:p w14:paraId="25392B49" w14:textId="2B1D474B" w:rsidR="00767875" w:rsidRDefault="00F47D5D" w:rsidP="00164807">
      <w:pPr>
        <w:pStyle w:val="Ttulo1"/>
      </w:pPr>
      <w:bookmarkStart w:id="18" w:name="_Toc26001163"/>
      <w:r>
        <w:lastRenderedPageBreak/>
        <w:t>Referências</w:t>
      </w:r>
      <w:bookmarkEnd w:id="18"/>
    </w:p>
    <w:p w14:paraId="38FDE73E" w14:textId="408ACF82" w:rsidR="00164807" w:rsidRDefault="00164807" w:rsidP="00164807">
      <w:pPr>
        <w:pStyle w:val="NormalWeb"/>
        <w:jc w:val="both"/>
        <w:rPr>
          <w:rFonts w:ascii="Verdana" w:hAnsi="Verdana"/>
          <w:color w:val="000000"/>
          <w:sz w:val="15"/>
          <w:szCs w:val="15"/>
        </w:rPr>
      </w:pPr>
      <w:r>
        <w:rPr>
          <w:rFonts w:ascii="Verdana" w:hAnsi="Verdana"/>
          <w:color w:val="000000"/>
          <w:sz w:val="15"/>
          <w:szCs w:val="15"/>
        </w:rPr>
        <w:t>Associação brasileira de normas técnicas. Instituto Nacional de Metrologia, Qualidade e Tecnologia. Guia para a expressão da incerteza de medição. 3 ed. Rio de Janeiro: ABNT/Inmetro, 2003. 120 p.</w:t>
      </w:r>
    </w:p>
    <w:p w14:paraId="7F9D0B3D" w14:textId="77777777" w:rsidR="00164807" w:rsidRDefault="00164807" w:rsidP="00164807">
      <w:pPr>
        <w:pStyle w:val="NormalWeb"/>
        <w:jc w:val="both"/>
        <w:rPr>
          <w:rFonts w:ascii="Verdana" w:hAnsi="Verdana"/>
          <w:color w:val="000000"/>
          <w:sz w:val="15"/>
          <w:szCs w:val="15"/>
        </w:rPr>
      </w:pPr>
      <w:r>
        <w:rPr>
          <w:rFonts w:ascii="Verdana" w:hAnsi="Verdana"/>
          <w:color w:val="000000"/>
          <w:sz w:val="15"/>
          <w:szCs w:val="15"/>
        </w:rPr>
        <w:t>Associação Brasileira de Normas Técnicas. NBR ISO/IEC 17025 . Rio de Janeiro, 2005.</w:t>
      </w:r>
    </w:p>
    <w:p w14:paraId="46C51B92" w14:textId="77777777" w:rsidR="00164807" w:rsidRDefault="00164807" w:rsidP="00164807">
      <w:pPr>
        <w:pStyle w:val="NormalWeb"/>
        <w:jc w:val="both"/>
        <w:rPr>
          <w:rFonts w:ascii="Verdana" w:hAnsi="Verdana"/>
          <w:color w:val="000000"/>
          <w:sz w:val="15"/>
          <w:szCs w:val="15"/>
        </w:rPr>
      </w:pPr>
      <w:r>
        <w:rPr>
          <w:rFonts w:ascii="Verdana" w:hAnsi="Verdana"/>
          <w:color w:val="000000"/>
          <w:sz w:val="15"/>
          <w:szCs w:val="15"/>
        </w:rPr>
        <w:t xml:space="preserve">Bureau </w:t>
      </w:r>
      <w:proofErr w:type="spellStart"/>
      <w:r>
        <w:rPr>
          <w:rFonts w:ascii="Verdana" w:hAnsi="Verdana"/>
          <w:color w:val="000000"/>
          <w:sz w:val="15"/>
          <w:szCs w:val="15"/>
        </w:rPr>
        <w:t>International</w:t>
      </w:r>
      <w:proofErr w:type="spellEnd"/>
      <w:r>
        <w:rPr>
          <w:rFonts w:ascii="Verdana" w:hAnsi="Verdana"/>
          <w:color w:val="000000"/>
          <w:sz w:val="15"/>
          <w:szCs w:val="15"/>
        </w:rPr>
        <w:t xml:space="preserve"> </w:t>
      </w:r>
      <w:proofErr w:type="spellStart"/>
      <w:r>
        <w:rPr>
          <w:rFonts w:ascii="Verdana" w:hAnsi="Verdana"/>
          <w:color w:val="000000"/>
          <w:sz w:val="15"/>
          <w:szCs w:val="15"/>
        </w:rPr>
        <w:t>des</w:t>
      </w:r>
      <w:proofErr w:type="spellEnd"/>
      <w:r>
        <w:rPr>
          <w:rFonts w:ascii="Verdana" w:hAnsi="Verdana"/>
          <w:color w:val="000000"/>
          <w:sz w:val="15"/>
          <w:szCs w:val="15"/>
        </w:rPr>
        <w:t xml:space="preserve"> </w:t>
      </w:r>
      <w:proofErr w:type="spellStart"/>
      <w:r>
        <w:rPr>
          <w:rFonts w:ascii="Verdana" w:hAnsi="Verdana"/>
          <w:color w:val="000000"/>
          <w:sz w:val="15"/>
          <w:szCs w:val="15"/>
        </w:rPr>
        <w:t>Poids</w:t>
      </w:r>
      <w:proofErr w:type="spellEnd"/>
      <w:r>
        <w:rPr>
          <w:rFonts w:ascii="Verdana" w:hAnsi="Verdana"/>
          <w:color w:val="000000"/>
          <w:sz w:val="15"/>
          <w:szCs w:val="15"/>
        </w:rPr>
        <w:t xml:space="preserve"> et </w:t>
      </w:r>
      <w:proofErr w:type="spellStart"/>
      <w:r>
        <w:rPr>
          <w:rFonts w:ascii="Verdana" w:hAnsi="Verdana"/>
          <w:color w:val="000000"/>
          <w:sz w:val="15"/>
          <w:szCs w:val="15"/>
        </w:rPr>
        <w:t>Measure</w:t>
      </w:r>
      <w:proofErr w:type="spellEnd"/>
      <w:r>
        <w:rPr>
          <w:rFonts w:ascii="Verdana" w:hAnsi="Verdana"/>
          <w:color w:val="000000"/>
          <w:sz w:val="15"/>
          <w:szCs w:val="15"/>
        </w:rPr>
        <w:t xml:space="preserve">. </w:t>
      </w:r>
      <w:proofErr w:type="spellStart"/>
      <w:r>
        <w:rPr>
          <w:rFonts w:ascii="Verdana" w:hAnsi="Verdana"/>
          <w:color w:val="000000"/>
          <w:sz w:val="15"/>
          <w:szCs w:val="15"/>
        </w:rPr>
        <w:t>International</w:t>
      </w:r>
      <w:proofErr w:type="spellEnd"/>
      <w:r>
        <w:rPr>
          <w:rFonts w:ascii="Verdana" w:hAnsi="Verdana"/>
          <w:color w:val="000000"/>
          <w:sz w:val="15"/>
          <w:szCs w:val="15"/>
        </w:rPr>
        <w:t xml:space="preserve"> </w:t>
      </w:r>
      <w:proofErr w:type="spellStart"/>
      <w:r>
        <w:rPr>
          <w:rFonts w:ascii="Verdana" w:hAnsi="Verdana"/>
          <w:color w:val="000000"/>
          <w:sz w:val="15"/>
          <w:szCs w:val="15"/>
        </w:rPr>
        <w:t>vocabulary</w:t>
      </w:r>
      <w:proofErr w:type="spellEnd"/>
      <w:r>
        <w:rPr>
          <w:rFonts w:ascii="Verdana" w:hAnsi="Verdana"/>
          <w:color w:val="000000"/>
          <w:sz w:val="15"/>
          <w:szCs w:val="15"/>
        </w:rPr>
        <w:t xml:space="preserve"> </w:t>
      </w:r>
      <w:proofErr w:type="spellStart"/>
      <w:r>
        <w:rPr>
          <w:rFonts w:ascii="Verdana" w:hAnsi="Verdana"/>
          <w:color w:val="000000"/>
          <w:sz w:val="15"/>
          <w:szCs w:val="15"/>
        </w:rPr>
        <w:t>of</w:t>
      </w:r>
      <w:proofErr w:type="spellEnd"/>
      <w:r>
        <w:rPr>
          <w:rFonts w:ascii="Verdana" w:hAnsi="Verdana"/>
          <w:color w:val="000000"/>
          <w:sz w:val="15"/>
          <w:szCs w:val="15"/>
        </w:rPr>
        <w:t xml:space="preserve"> </w:t>
      </w:r>
      <w:proofErr w:type="spellStart"/>
      <w:r>
        <w:rPr>
          <w:rFonts w:ascii="Verdana" w:hAnsi="Verdana"/>
          <w:color w:val="000000"/>
          <w:sz w:val="15"/>
          <w:szCs w:val="15"/>
        </w:rPr>
        <w:t>metrology</w:t>
      </w:r>
      <w:proofErr w:type="spellEnd"/>
      <w:r>
        <w:rPr>
          <w:rFonts w:ascii="Verdana" w:hAnsi="Verdana"/>
          <w:color w:val="000000"/>
          <w:sz w:val="15"/>
          <w:szCs w:val="15"/>
        </w:rPr>
        <w:t xml:space="preserve">: </w:t>
      </w:r>
      <w:proofErr w:type="spellStart"/>
      <w:r>
        <w:rPr>
          <w:rFonts w:ascii="Verdana" w:hAnsi="Verdana"/>
          <w:color w:val="000000"/>
          <w:sz w:val="15"/>
          <w:szCs w:val="15"/>
        </w:rPr>
        <w:t>basic</w:t>
      </w:r>
      <w:proofErr w:type="spellEnd"/>
      <w:r>
        <w:rPr>
          <w:rFonts w:ascii="Verdana" w:hAnsi="Verdana"/>
          <w:color w:val="000000"/>
          <w:sz w:val="15"/>
          <w:szCs w:val="15"/>
        </w:rPr>
        <w:t xml:space="preserve"> </w:t>
      </w:r>
      <w:proofErr w:type="spellStart"/>
      <w:r>
        <w:rPr>
          <w:rFonts w:ascii="Verdana" w:hAnsi="Verdana"/>
          <w:color w:val="000000"/>
          <w:sz w:val="15"/>
          <w:szCs w:val="15"/>
        </w:rPr>
        <w:t>and</w:t>
      </w:r>
      <w:proofErr w:type="spellEnd"/>
      <w:r>
        <w:rPr>
          <w:rFonts w:ascii="Verdana" w:hAnsi="Verdana"/>
          <w:color w:val="000000"/>
          <w:sz w:val="15"/>
          <w:szCs w:val="15"/>
        </w:rPr>
        <w:t xml:space="preserve"> general </w:t>
      </w:r>
      <w:proofErr w:type="spellStart"/>
      <w:r>
        <w:rPr>
          <w:rFonts w:ascii="Verdana" w:hAnsi="Verdana"/>
          <w:color w:val="000000"/>
          <w:sz w:val="15"/>
          <w:szCs w:val="15"/>
        </w:rPr>
        <w:t>concepts</w:t>
      </w:r>
      <w:proofErr w:type="spellEnd"/>
      <w:r>
        <w:rPr>
          <w:rFonts w:ascii="Verdana" w:hAnsi="Verdana"/>
          <w:color w:val="000000"/>
          <w:sz w:val="15"/>
          <w:szCs w:val="15"/>
        </w:rPr>
        <w:t xml:space="preserve"> </w:t>
      </w:r>
      <w:proofErr w:type="spellStart"/>
      <w:r>
        <w:rPr>
          <w:rFonts w:ascii="Verdana" w:hAnsi="Verdana"/>
          <w:color w:val="000000"/>
          <w:sz w:val="15"/>
          <w:szCs w:val="15"/>
        </w:rPr>
        <w:t>and</w:t>
      </w:r>
      <w:proofErr w:type="spellEnd"/>
      <w:r>
        <w:rPr>
          <w:rFonts w:ascii="Verdana" w:hAnsi="Verdana"/>
          <w:color w:val="000000"/>
          <w:sz w:val="15"/>
          <w:szCs w:val="15"/>
        </w:rPr>
        <w:t xml:space="preserve"> </w:t>
      </w:r>
      <w:proofErr w:type="spellStart"/>
      <w:r>
        <w:rPr>
          <w:rFonts w:ascii="Verdana" w:hAnsi="Verdana"/>
          <w:color w:val="000000"/>
          <w:sz w:val="15"/>
          <w:szCs w:val="15"/>
        </w:rPr>
        <w:t>associated</w:t>
      </w:r>
      <w:proofErr w:type="spellEnd"/>
      <w:r>
        <w:rPr>
          <w:rFonts w:ascii="Verdana" w:hAnsi="Verdana"/>
          <w:color w:val="000000"/>
          <w:sz w:val="15"/>
          <w:szCs w:val="15"/>
        </w:rPr>
        <w:t xml:space="preserve"> </w:t>
      </w:r>
      <w:proofErr w:type="spellStart"/>
      <w:r>
        <w:rPr>
          <w:rFonts w:ascii="Verdana" w:hAnsi="Verdana"/>
          <w:color w:val="000000"/>
          <w:sz w:val="15"/>
          <w:szCs w:val="15"/>
        </w:rPr>
        <w:t>terms</w:t>
      </w:r>
      <w:proofErr w:type="spellEnd"/>
      <w:r>
        <w:rPr>
          <w:rFonts w:ascii="Verdana" w:hAnsi="Verdana"/>
          <w:color w:val="000000"/>
          <w:sz w:val="15"/>
          <w:szCs w:val="15"/>
        </w:rPr>
        <w:t>. 3. ed.  França:  JOCGM, 2008.</w:t>
      </w:r>
    </w:p>
    <w:p w14:paraId="12BF85FC" w14:textId="77777777" w:rsidR="00164807" w:rsidRDefault="00164807" w:rsidP="00164807">
      <w:pPr>
        <w:pStyle w:val="NormalWeb"/>
        <w:jc w:val="both"/>
        <w:rPr>
          <w:rFonts w:ascii="Verdana" w:hAnsi="Verdana"/>
          <w:color w:val="000000"/>
          <w:sz w:val="15"/>
          <w:szCs w:val="15"/>
        </w:rPr>
      </w:pPr>
      <w:r>
        <w:rPr>
          <w:rFonts w:ascii="Verdana" w:hAnsi="Verdana"/>
          <w:color w:val="000000"/>
          <w:sz w:val="15"/>
          <w:szCs w:val="15"/>
        </w:rPr>
        <w:t>Instituto Nacional de Metrologia, Qualidade e Tecnologia – Inmetro. Vocabulário Internacional de Metrologia: Conceitos fundamentais e gerais e termos associados. 1° ed. Luso-Brasileira Rio de Janeiro: Senai, 2012.</w:t>
      </w:r>
    </w:p>
    <w:p w14:paraId="5883D522" w14:textId="77777777" w:rsidR="00164807" w:rsidRDefault="00164807" w:rsidP="00164807">
      <w:pPr>
        <w:pStyle w:val="NormalWeb"/>
        <w:jc w:val="both"/>
        <w:rPr>
          <w:rFonts w:ascii="Verdana" w:hAnsi="Verdana"/>
          <w:color w:val="000000"/>
          <w:sz w:val="15"/>
          <w:szCs w:val="15"/>
        </w:rPr>
      </w:pPr>
      <w:proofErr w:type="spellStart"/>
      <w:r>
        <w:rPr>
          <w:rFonts w:ascii="Verdana" w:hAnsi="Verdana"/>
          <w:color w:val="000000"/>
          <w:sz w:val="15"/>
          <w:szCs w:val="15"/>
        </w:rPr>
        <w:t>Organisation</w:t>
      </w:r>
      <w:proofErr w:type="spellEnd"/>
      <w:r>
        <w:rPr>
          <w:rFonts w:ascii="Verdana" w:hAnsi="Verdana"/>
          <w:color w:val="000000"/>
          <w:sz w:val="15"/>
          <w:szCs w:val="15"/>
        </w:rPr>
        <w:t xml:space="preserve"> </w:t>
      </w:r>
      <w:proofErr w:type="spellStart"/>
      <w:r>
        <w:rPr>
          <w:rFonts w:ascii="Verdana" w:hAnsi="Verdana"/>
          <w:color w:val="000000"/>
          <w:sz w:val="15"/>
          <w:szCs w:val="15"/>
        </w:rPr>
        <w:t>Internationale</w:t>
      </w:r>
      <w:proofErr w:type="spellEnd"/>
      <w:r>
        <w:rPr>
          <w:rFonts w:ascii="Verdana" w:hAnsi="Verdana"/>
          <w:color w:val="000000"/>
          <w:sz w:val="15"/>
          <w:szCs w:val="15"/>
        </w:rPr>
        <w:t xml:space="preserve"> de </w:t>
      </w:r>
      <w:proofErr w:type="spellStart"/>
      <w:r>
        <w:rPr>
          <w:rFonts w:ascii="Verdana" w:hAnsi="Verdana"/>
          <w:color w:val="000000"/>
          <w:sz w:val="15"/>
          <w:szCs w:val="15"/>
        </w:rPr>
        <w:t>Métrologie</w:t>
      </w:r>
      <w:proofErr w:type="spellEnd"/>
      <w:r>
        <w:rPr>
          <w:rFonts w:ascii="Verdana" w:hAnsi="Verdana"/>
          <w:color w:val="000000"/>
          <w:sz w:val="15"/>
          <w:szCs w:val="15"/>
        </w:rPr>
        <w:t xml:space="preserve"> </w:t>
      </w:r>
      <w:proofErr w:type="spellStart"/>
      <w:r>
        <w:rPr>
          <w:rFonts w:ascii="Verdana" w:hAnsi="Verdana"/>
          <w:color w:val="000000"/>
          <w:sz w:val="15"/>
          <w:szCs w:val="15"/>
        </w:rPr>
        <w:t>Légale</w:t>
      </w:r>
      <w:proofErr w:type="spellEnd"/>
      <w:r>
        <w:rPr>
          <w:rFonts w:ascii="Verdana" w:hAnsi="Verdana"/>
          <w:color w:val="000000"/>
          <w:sz w:val="15"/>
          <w:szCs w:val="15"/>
        </w:rPr>
        <w:t>. Disponível em: &lt;</w:t>
      </w:r>
      <w:hyperlink r:id="rId27" w:history="1">
        <w:r>
          <w:rPr>
            <w:rStyle w:val="Hyperlink"/>
            <w:rFonts w:ascii="Verdana" w:eastAsia="Franklin Gothic Medium" w:hAnsi="Verdana"/>
            <w:sz w:val="15"/>
            <w:szCs w:val="15"/>
          </w:rPr>
          <w:t>https://www.oiml.org/en</w:t>
        </w:r>
      </w:hyperlink>
      <w:r>
        <w:rPr>
          <w:rFonts w:ascii="Verdana" w:hAnsi="Verdana"/>
          <w:color w:val="000000"/>
          <w:sz w:val="15"/>
          <w:szCs w:val="15"/>
        </w:rPr>
        <w:t>&gt; Acesso em 08 de setembro de 2015.</w:t>
      </w:r>
    </w:p>
    <w:p w14:paraId="54946938" w14:textId="77777777" w:rsidR="00164807" w:rsidRDefault="00164807" w:rsidP="00164807">
      <w:pPr>
        <w:pStyle w:val="NormalWeb"/>
        <w:jc w:val="both"/>
        <w:rPr>
          <w:rFonts w:ascii="Verdana" w:hAnsi="Verdana"/>
          <w:color w:val="000000"/>
          <w:sz w:val="15"/>
          <w:szCs w:val="15"/>
        </w:rPr>
      </w:pPr>
      <w:r>
        <w:rPr>
          <w:rFonts w:ascii="Verdana" w:hAnsi="Verdana"/>
          <w:color w:val="000000"/>
          <w:sz w:val="15"/>
          <w:szCs w:val="15"/>
        </w:rPr>
        <w:t>Instituto Nacional de Metrologia, Qualidade e Tecnologia – Inmetro. Disponível em: &lt;</w:t>
      </w:r>
      <w:hyperlink r:id="rId28" w:history="1">
        <w:r>
          <w:rPr>
            <w:rStyle w:val="Hyperlink"/>
            <w:rFonts w:ascii="Verdana" w:eastAsia="Franklin Gothic Medium" w:hAnsi="Verdana"/>
            <w:sz w:val="15"/>
            <w:szCs w:val="15"/>
          </w:rPr>
          <w:t>http://www.inmetro.gov.br</w:t>
        </w:r>
      </w:hyperlink>
      <w:r>
        <w:rPr>
          <w:rFonts w:ascii="Verdana" w:hAnsi="Verdana"/>
          <w:color w:val="000000"/>
          <w:sz w:val="15"/>
          <w:szCs w:val="15"/>
        </w:rPr>
        <w:t>&gt; Acesso em 24/09/2015. </w:t>
      </w:r>
    </w:p>
    <w:p w14:paraId="5C956A73" w14:textId="77777777" w:rsidR="00164807" w:rsidRDefault="00164807" w:rsidP="00164807">
      <w:pPr>
        <w:pStyle w:val="NormalWeb"/>
        <w:jc w:val="both"/>
        <w:rPr>
          <w:rFonts w:ascii="Verdana" w:hAnsi="Verdana"/>
          <w:color w:val="000000"/>
          <w:sz w:val="15"/>
          <w:szCs w:val="15"/>
        </w:rPr>
      </w:pPr>
      <w:r>
        <w:rPr>
          <w:rFonts w:ascii="Verdana" w:hAnsi="Verdana"/>
          <w:color w:val="000000"/>
          <w:sz w:val="15"/>
          <w:szCs w:val="15"/>
        </w:rPr>
        <w:t>Santana, Reinaldo Gomes. Metrologia. Curitiba: Editora LTD, 2012.</w:t>
      </w:r>
    </w:p>
    <w:p w14:paraId="6B21A733" w14:textId="7DECFD29" w:rsidR="00164807" w:rsidRDefault="00164807" w:rsidP="00164807">
      <w:pPr>
        <w:pStyle w:val="NormalWeb"/>
        <w:jc w:val="both"/>
        <w:rPr>
          <w:rFonts w:ascii="Verdana" w:hAnsi="Verdana"/>
          <w:color w:val="000000"/>
          <w:sz w:val="15"/>
          <w:szCs w:val="15"/>
        </w:rPr>
      </w:pPr>
      <w:r>
        <w:rPr>
          <w:rFonts w:ascii="Verdana" w:hAnsi="Verdana"/>
          <w:color w:val="000000"/>
          <w:sz w:val="15"/>
          <w:szCs w:val="15"/>
        </w:rPr>
        <w:t>Associação  Brasileira  De  Normas  Técnicas. Disponível em: &lt;</w:t>
      </w:r>
      <w:hyperlink r:id="rId29" w:tgtFrame="_blank" w:history="1">
        <w:r>
          <w:rPr>
            <w:rStyle w:val="Hyperlink"/>
            <w:rFonts w:ascii="Verdana" w:eastAsia="Franklin Gothic Medium" w:hAnsi="Verdana"/>
            <w:sz w:val="15"/>
            <w:szCs w:val="15"/>
          </w:rPr>
          <w:t>http://www.abnt.org.br</w:t>
        </w:r>
      </w:hyperlink>
      <w:r>
        <w:rPr>
          <w:rFonts w:ascii="Verdana" w:hAnsi="Verdana"/>
          <w:color w:val="000000"/>
          <w:sz w:val="15"/>
          <w:szCs w:val="15"/>
        </w:rPr>
        <w:t xml:space="preserve">&gt; Acesso em: </w:t>
      </w:r>
      <w:r w:rsidR="004631BA">
        <w:rPr>
          <w:rFonts w:ascii="Verdana" w:hAnsi="Verdana"/>
          <w:color w:val="000000"/>
          <w:sz w:val="15"/>
          <w:szCs w:val="15"/>
        </w:rPr>
        <w:t>15/11/2018</w:t>
      </w:r>
      <w:r>
        <w:rPr>
          <w:rFonts w:ascii="Verdana" w:hAnsi="Verdana"/>
          <w:color w:val="000000"/>
          <w:sz w:val="15"/>
          <w:szCs w:val="15"/>
        </w:rPr>
        <w:t>.</w:t>
      </w:r>
    </w:p>
    <w:p w14:paraId="05183F2D" w14:textId="416557EF" w:rsidR="00164807" w:rsidRDefault="00164807" w:rsidP="00164807">
      <w:pPr>
        <w:pStyle w:val="NormalWeb"/>
        <w:jc w:val="both"/>
        <w:rPr>
          <w:rFonts w:ascii="Verdana" w:hAnsi="Verdana"/>
          <w:color w:val="000000"/>
          <w:sz w:val="15"/>
          <w:szCs w:val="15"/>
        </w:rPr>
      </w:pPr>
      <w:r>
        <w:rPr>
          <w:rFonts w:ascii="Verdana" w:hAnsi="Verdana"/>
          <w:color w:val="000000"/>
          <w:sz w:val="15"/>
          <w:szCs w:val="15"/>
        </w:rPr>
        <w:t>Associação  Brasileira  de  Normas  Técnicas.  NBR ISO 9000: sistemas de gestão da qualidade: fundamentos e vocabulário. Rio de Janeiro, 2015. </w:t>
      </w:r>
    </w:p>
    <w:p w14:paraId="0E3C4757" w14:textId="541DFCEF" w:rsidR="00164807" w:rsidRDefault="00164807" w:rsidP="00164807">
      <w:pPr>
        <w:pStyle w:val="NormalWeb"/>
        <w:jc w:val="both"/>
        <w:rPr>
          <w:rFonts w:ascii="Verdana" w:hAnsi="Verdana"/>
          <w:color w:val="000000"/>
          <w:sz w:val="15"/>
          <w:szCs w:val="15"/>
        </w:rPr>
      </w:pPr>
      <w:r>
        <w:rPr>
          <w:rFonts w:ascii="Verdana" w:hAnsi="Verdana"/>
          <w:color w:val="000000"/>
          <w:sz w:val="15"/>
          <w:szCs w:val="15"/>
        </w:rPr>
        <w:t>Associação  Brasileira  de  Normas  Técnicas.  NBR ISO IEC 17000: avaliação de conformidade: vocabulário e princípios gerais. Rio de Janeiro, 2005.</w:t>
      </w:r>
    </w:p>
    <w:p w14:paraId="39898B9B" w14:textId="599F280C" w:rsidR="00164807" w:rsidRDefault="00164807" w:rsidP="00164807">
      <w:pPr>
        <w:pStyle w:val="NormalWeb"/>
        <w:jc w:val="both"/>
        <w:rPr>
          <w:rFonts w:ascii="Verdana" w:hAnsi="Verdana"/>
          <w:color w:val="000000"/>
          <w:sz w:val="15"/>
          <w:szCs w:val="15"/>
        </w:rPr>
      </w:pPr>
      <w:r>
        <w:rPr>
          <w:rFonts w:ascii="Verdana" w:hAnsi="Verdana"/>
          <w:color w:val="000000"/>
          <w:sz w:val="15"/>
          <w:szCs w:val="15"/>
        </w:rPr>
        <w:t xml:space="preserve">British    Standards    </w:t>
      </w:r>
      <w:proofErr w:type="spellStart"/>
      <w:r>
        <w:rPr>
          <w:rFonts w:ascii="Verdana" w:hAnsi="Verdana"/>
          <w:color w:val="000000"/>
          <w:sz w:val="15"/>
          <w:szCs w:val="15"/>
        </w:rPr>
        <w:t>Institution</w:t>
      </w:r>
      <w:proofErr w:type="spellEnd"/>
      <w:r>
        <w:rPr>
          <w:rFonts w:ascii="Verdana" w:hAnsi="Verdana"/>
          <w:color w:val="000000"/>
          <w:sz w:val="15"/>
          <w:szCs w:val="15"/>
        </w:rPr>
        <w:t>.    Disponível    em: &lt;</w:t>
      </w:r>
      <w:hyperlink w:tgtFrame="_blank" w:history="1">
        <w:r>
          <w:rPr>
            <w:rStyle w:val="Hyperlink"/>
            <w:rFonts w:ascii="Verdana" w:eastAsia="Franklin Gothic Medium" w:hAnsi="Verdana"/>
            <w:sz w:val="15"/>
            <w:szCs w:val="15"/>
          </w:rPr>
          <w:t>http://ww w.bsi-global.com</w:t>
        </w:r>
      </w:hyperlink>
      <w:r>
        <w:rPr>
          <w:rFonts w:ascii="Verdana" w:hAnsi="Verdana"/>
          <w:color w:val="000000"/>
          <w:sz w:val="15"/>
          <w:szCs w:val="15"/>
        </w:rPr>
        <w:t xml:space="preserve">&gt; Acesso em: </w:t>
      </w:r>
      <w:r w:rsidR="004631BA">
        <w:rPr>
          <w:rFonts w:ascii="Verdana" w:hAnsi="Verdana"/>
          <w:color w:val="000000"/>
          <w:sz w:val="15"/>
          <w:szCs w:val="15"/>
        </w:rPr>
        <w:t>20/11/2018</w:t>
      </w:r>
      <w:r>
        <w:rPr>
          <w:rFonts w:ascii="Verdana" w:hAnsi="Verdana"/>
          <w:color w:val="000000"/>
          <w:sz w:val="15"/>
          <w:szCs w:val="15"/>
        </w:rPr>
        <w:t>.</w:t>
      </w:r>
    </w:p>
    <w:p w14:paraId="6CBD7938" w14:textId="04E88FE9" w:rsidR="00164807" w:rsidRDefault="00164807" w:rsidP="00164807">
      <w:pPr>
        <w:pStyle w:val="NormalWeb"/>
        <w:jc w:val="both"/>
        <w:rPr>
          <w:rFonts w:ascii="Verdana" w:hAnsi="Verdana"/>
          <w:color w:val="000000"/>
          <w:sz w:val="15"/>
          <w:szCs w:val="15"/>
        </w:rPr>
      </w:pPr>
      <w:r>
        <w:rPr>
          <w:rFonts w:ascii="Verdana" w:hAnsi="Verdana"/>
          <w:color w:val="000000"/>
          <w:sz w:val="15"/>
          <w:szCs w:val="15"/>
        </w:rPr>
        <w:t>Confederação Nacional da Indústria.</w:t>
      </w:r>
      <w:r w:rsidR="004631BA">
        <w:rPr>
          <w:rFonts w:ascii="Verdana" w:hAnsi="Verdana"/>
          <w:color w:val="000000"/>
          <w:sz w:val="15"/>
          <w:szCs w:val="15"/>
        </w:rPr>
        <w:t xml:space="preserve"> Normalização: conhecendo e</w:t>
      </w:r>
      <w:r>
        <w:rPr>
          <w:rFonts w:ascii="Verdana" w:hAnsi="Verdana"/>
          <w:color w:val="000000"/>
          <w:sz w:val="15"/>
          <w:szCs w:val="15"/>
        </w:rPr>
        <w:t xml:space="preserve"> aplicando  na  sua  empresa.  Brasília:  CNI, 2002.</w:t>
      </w:r>
    </w:p>
    <w:p w14:paraId="3BE05739" w14:textId="47ACB874" w:rsidR="00164807" w:rsidRDefault="00164807" w:rsidP="00164807">
      <w:pPr>
        <w:pStyle w:val="NormalWeb"/>
        <w:jc w:val="both"/>
        <w:rPr>
          <w:rFonts w:ascii="Verdana" w:hAnsi="Verdana"/>
          <w:color w:val="000000"/>
          <w:sz w:val="15"/>
          <w:szCs w:val="15"/>
        </w:rPr>
      </w:pPr>
      <w:r>
        <w:rPr>
          <w:rFonts w:ascii="Verdana" w:hAnsi="Verdana"/>
          <w:color w:val="000000"/>
          <w:sz w:val="15"/>
          <w:szCs w:val="15"/>
        </w:rPr>
        <w:t>Conselho Nacional de Metrologia</w:t>
      </w:r>
      <w:r w:rsidR="004631BA">
        <w:rPr>
          <w:rFonts w:ascii="Verdana" w:hAnsi="Verdana"/>
          <w:color w:val="000000"/>
          <w:sz w:val="15"/>
          <w:szCs w:val="15"/>
        </w:rPr>
        <w:t>, Normalização </w:t>
      </w:r>
      <w:r>
        <w:rPr>
          <w:rFonts w:ascii="Verdana" w:hAnsi="Verdana"/>
          <w:color w:val="000000"/>
          <w:sz w:val="15"/>
          <w:szCs w:val="15"/>
        </w:rPr>
        <w:t xml:space="preserve">e </w:t>
      </w:r>
      <w:r w:rsidR="004631BA">
        <w:rPr>
          <w:rFonts w:ascii="Verdana" w:hAnsi="Verdana"/>
          <w:color w:val="000000"/>
          <w:sz w:val="15"/>
          <w:szCs w:val="15"/>
        </w:rPr>
        <w:t>Qualidade </w:t>
      </w:r>
      <w:r>
        <w:rPr>
          <w:rFonts w:ascii="Verdana" w:hAnsi="Verdana"/>
          <w:color w:val="000000"/>
          <w:sz w:val="15"/>
          <w:szCs w:val="15"/>
        </w:rPr>
        <w:t>Industrial. Guia   de   boas   práticas   de regulamentação. Rio de Janeiro, 2007.</w:t>
      </w:r>
    </w:p>
    <w:p w14:paraId="287F058B" w14:textId="1E746090" w:rsidR="00164807" w:rsidRDefault="00164807" w:rsidP="00164807">
      <w:pPr>
        <w:pStyle w:val="NormalWeb"/>
        <w:jc w:val="both"/>
        <w:rPr>
          <w:rFonts w:ascii="Verdana" w:hAnsi="Verdana"/>
          <w:color w:val="000000"/>
          <w:sz w:val="15"/>
          <w:szCs w:val="15"/>
        </w:rPr>
      </w:pPr>
      <w:r>
        <w:rPr>
          <w:rFonts w:ascii="Verdana" w:hAnsi="Verdana"/>
          <w:color w:val="000000"/>
          <w:sz w:val="15"/>
          <w:szCs w:val="15"/>
        </w:rPr>
        <w:t>Garrido, Alexandre. Técnicas de auditoria. 2002. </w:t>
      </w:r>
    </w:p>
    <w:p w14:paraId="2C046530" w14:textId="368B1ACA" w:rsidR="00164807" w:rsidRDefault="00164807" w:rsidP="00164807">
      <w:pPr>
        <w:pStyle w:val="NormalWeb"/>
        <w:jc w:val="both"/>
        <w:rPr>
          <w:rFonts w:ascii="Verdana" w:hAnsi="Verdana"/>
          <w:color w:val="000000"/>
          <w:sz w:val="15"/>
          <w:szCs w:val="15"/>
        </w:rPr>
      </w:pPr>
      <w:r>
        <w:rPr>
          <w:rFonts w:ascii="Verdana" w:hAnsi="Verdana"/>
          <w:color w:val="000000"/>
          <w:sz w:val="15"/>
          <w:szCs w:val="15"/>
        </w:rPr>
        <w:t>Instituto De Pesquisa E Desenvolvimento Tecnológico Da Indústria De Máquinas e Equipamentos</w:t>
      </w:r>
      <w:r w:rsidR="004631BA">
        <w:rPr>
          <w:rFonts w:ascii="Verdana" w:hAnsi="Verdana"/>
          <w:color w:val="000000"/>
          <w:sz w:val="15"/>
          <w:szCs w:val="15"/>
        </w:rPr>
        <w:t>.  Tecnologia</w:t>
      </w:r>
      <w:r>
        <w:rPr>
          <w:rFonts w:ascii="Verdana" w:hAnsi="Verdana"/>
          <w:color w:val="000000"/>
          <w:sz w:val="15"/>
          <w:szCs w:val="15"/>
        </w:rPr>
        <w:t xml:space="preserve"> </w:t>
      </w:r>
      <w:r w:rsidR="004631BA">
        <w:rPr>
          <w:rFonts w:ascii="Verdana" w:hAnsi="Verdana"/>
          <w:color w:val="000000"/>
          <w:sz w:val="15"/>
          <w:szCs w:val="15"/>
        </w:rPr>
        <w:t>Industrial Básica</w:t>
      </w:r>
      <w:r>
        <w:rPr>
          <w:rFonts w:ascii="Verdana" w:hAnsi="Verdana"/>
          <w:color w:val="000000"/>
          <w:sz w:val="15"/>
          <w:szCs w:val="15"/>
        </w:rPr>
        <w:t>:  diretrizes para o setor de máquinas e equipamentos. São Paulo: IPDMAQ, 2008.</w:t>
      </w:r>
    </w:p>
    <w:p w14:paraId="3FAAA50D" w14:textId="763D4153" w:rsidR="00164807" w:rsidRDefault="00164807" w:rsidP="00164807">
      <w:pPr>
        <w:pStyle w:val="NormalWeb"/>
        <w:jc w:val="both"/>
        <w:rPr>
          <w:rFonts w:ascii="Verdana" w:hAnsi="Verdana"/>
          <w:color w:val="000000"/>
          <w:sz w:val="15"/>
          <w:szCs w:val="15"/>
        </w:rPr>
      </w:pPr>
      <w:r>
        <w:rPr>
          <w:rFonts w:ascii="Verdana" w:hAnsi="Verdana"/>
          <w:color w:val="000000"/>
          <w:sz w:val="15"/>
          <w:szCs w:val="15"/>
        </w:rPr>
        <w:t>Instituto Nacional de Metrologia, Qualidade e Tecnologia – Inmetro. Barreiras Técnicas às Exportações – O que são e como superá-las. 3° ed. Rio de Janeiro: 2009.</w:t>
      </w:r>
    </w:p>
    <w:p w14:paraId="108AA98F" w14:textId="48BF65C9" w:rsidR="00164807" w:rsidRDefault="00164807" w:rsidP="00164807">
      <w:pPr>
        <w:pStyle w:val="NormalWeb"/>
        <w:jc w:val="both"/>
        <w:rPr>
          <w:rFonts w:ascii="Verdana" w:hAnsi="Verdana"/>
          <w:color w:val="000000"/>
          <w:sz w:val="15"/>
          <w:szCs w:val="15"/>
        </w:rPr>
      </w:pPr>
      <w:r>
        <w:rPr>
          <w:rFonts w:ascii="Verdana" w:hAnsi="Verdana"/>
          <w:color w:val="000000"/>
          <w:sz w:val="15"/>
          <w:szCs w:val="15"/>
        </w:rPr>
        <w:t>Instituto Nacional de Metrologia, Qualidade e Tecnologia – Inmetro. Avaliação da Conformidade. 6° ed. Rio de Janeiro: 2015.</w:t>
      </w:r>
    </w:p>
    <w:p w14:paraId="32979184" w14:textId="1659BC12" w:rsidR="00164807" w:rsidRDefault="00164807" w:rsidP="00164807">
      <w:pPr>
        <w:pStyle w:val="NormalWeb"/>
        <w:jc w:val="both"/>
        <w:rPr>
          <w:rFonts w:ascii="Verdana" w:hAnsi="Verdana"/>
          <w:color w:val="000000"/>
          <w:sz w:val="15"/>
          <w:szCs w:val="15"/>
        </w:rPr>
      </w:pPr>
      <w:r>
        <w:rPr>
          <w:rFonts w:ascii="Verdana" w:hAnsi="Verdana"/>
          <w:color w:val="000000"/>
          <w:sz w:val="15"/>
          <w:szCs w:val="15"/>
        </w:rPr>
        <w:t>Instituto Nacional de Metrologia, Qualidade e Tecnologia – Inmetro Disponível em: &lt;</w:t>
      </w:r>
      <w:hyperlink r:id="rId30" w:tgtFrame="_blank" w:history="1">
        <w:r>
          <w:rPr>
            <w:rStyle w:val="Hyperlink"/>
            <w:rFonts w:ascii="Verdana" w:eastAsia="Franklin Gothic Medium" w:hAnsi="Verdana"/>
            <w:sz w:val="15"/>
            <w:szCs w:val="15"/>
          </w:rPr>
          <w:t>http://www.inmetro.gov.br</w:t>
        </w:r>
      </w:hyperlink>
      <w:r>
        <w:rPr>
          <w:rFonts w:ascii="Verdana" w:hAnsi="Verdana"/>
          <w:color w:val="000000"/>
          <w:sz w:val="15"/>
          <w:szCs w:val="15"/>
        </w:rPr>
        <w:t xml:space="preserve">&gt; Acesso em </w:t>
      </w:r>
      <w:r w:rsidR="004631BA">
        <w:rPr>
          <w:rFonts w:ascii="Verdana" w:hAnsi="Verdana"/>
          <w:color w:val="000000"/>
          <w:sz w:val="15"/>
          <w:szCs w:val="15"/>
        </w:rPr>
        <w:t>31/01/2019</w:t>
      </w:r>
      <w:r>
        <w:rPr>
          <w:rFonts w:ascii="Verdana" w:hAnsi="Verdana"/>
          <w:color w:val="000000"/>
          <w:sz w:val="15"/>
          <w:szCs w:val="15"/>
        </w:rPr>
        <w:t>.</w:t>
      </w:r>
    </w:p>
    <w:p w14:paraId="2977A87B" w14:textId="1DC4EE17" w:rsidR="00164807" w:rsidRDefault="00164807" w:rsidP="00164807">
      <w:pPr>
        <w:pStyle w:val="NormalWeb"/>
        <w:jc w:val="both"/>
        <w:rPr>
          <w:rFonts w:ascii="Verdana" w:hAnsi="Verdana"/>
          <w:color w:val="000000"/>
          <w:sz w:val="15"/>
          <w:szCs w:val="15"/>
        </w:rPr>
      </w:pPr>
      <w:r>
        <w:rPr>
          <w:rFonts w:ascii="Verdana" w:hAnsi="Verdana"/>
          <w:color w:val="000000"/>
          <w:sz w:val="15"/>
          <w:szCs w:val="15"/>
        </w:rPr>
        <w:t>Instituto Nacional de Metrologia, Qualidade e Tecnologia – Inmetro. Sistema Internacional de Unidades. 1° Edição Brasileira da 8° edição do BIPM. Rio de Janeiro: 2012.</w:t>
      </w:r>
    </w:p>
    <w:p w14:paraId="1A13C947" w14:textId="5B9772DC" w:rsidR="00164807" w:rsidRDefault="00164807" w:rsidP="00164807">
      <w:pPr>
        <w:pStyle w:val="NormalWeb"/>
        <w:jc w:val="both"/>
        <w:rPr>
          <w:rFonts w:ascii="Verdana" w:hAnsi="Verdana"/>
          <w:color w:val="000000"/>
          <w:sz w:val="15"/>
          <w:szCs w:val="15"/>
        </w:rPr>
      </w:pPr>
      <w:proofErr w:type="spellStart"/>
      <w:r>
        <w:rPr>
          <w:rFonts w:ascii="Verdana" w:hAnsi="Verdana"/>
          <w:color w:val="000000"/>
          <w:sz w:val="15"/>
          <w:szCs w:val="15"/>
        </w:rPr>
        <w:t>International</w:t>
      </w:r>
      <w:proofErr w:type="spellEnd"/>
      <w:r>
        <w:rPr>
          <w:rFonts w:ascii="Verdana" w:hAnsi="Verdana"/>
          <w:color w:val="000000"/>
          <w:sz w:val="15"/>
          <w:szCs w:val="15"/>
        </w:rPr>
        <w:t xml:space="preserve"> </w:t>
      </w:r>
      <w:proofErr w:type="spellStart"/>
      <w:r>
        <w:rPr>
          <w:rFonts w:ascii="Verdana" w:hAnsi="Verdana"/>
          <w:color w:val="000000"/>
          <w:sz w:val="15"/>
          <w:szCs w:val="15"/>
        </w:rPr>
        <w:t>Accreditation</w:t>
      </w:r>
      <w:proofErr w:type="spellEnd"/>
      <w:r>
        <w:rPr>
          <w:rFonts w:ascii="Verdana" w:hAnsi="Verdana"/>
          <w:color w:val="000000"/>
          <w:sz w:val="15"/>
          <w:szCs w:val="15"/>
        </w:rPr>
        <w:t xml:space="preserve"> FORUM – IAF. Disponível em: &lt;</w:t>
      </w:r>
      <w:hyperlink r:id="rId31" w:tgtFrame="_blank" w:history="1">
        <w:r>
          <w:rPr>
            <w:rStyle w:val="Hyperlink"/>
            <w:rFonts w:ascii="Verdana" w:eastAsia="Franklin Gothic Medium" w:hAnsi="Verdana"/>
            <w:sz w:val="15"/>
            <w:szCs w:val="15"/>
          </w:rPr>
          <w:t>http://www.iaf.nu/upFiles/IAF_B2_12012_portuguese.pdf</w:t>
        </w:r>
      </w:hyperlink>
      <w:r>
        <w:rPr>
          <w:rFonts w:ascii="Verdana" w:hAnsi="Verdana"/>
          <w:color w:val="000000"/>
          <w:sz w:val="15"/>
          <w:szCs w:val="15"/>
        </w:rPr>
        <w:t xml:space="preserve">&gt; Acesso em </w:t>
      </w:r>
      <w:r w:rsidR="004631BA">
        <w:rPr>
          <w:rFonts w:ascii="Verdana" w:hAnsi="Verdana"/>
          <w:color w:val="000000"/>
          <w:sz w:val="15"/>
          <w:szCs w:val="15"/>
        </w:rPr>
        <w:t>31/01/2019</w:t>
      </w:r>
      <w:r>
        <w:rPr>
          <w:rFonts w:ascii="Verdana" w:hAnsi="Verdana"/>
          <w:color w:val="000000"/>
          <w:sz w:val="15"/>
          <w:szCs w:val="15"/>
        </w:rPr>
        <w:t>.</w:t>
      </w:r>
      <w:r>
        <w:rPr>
          <w:rFonts w:ascii="Verdana" w:hAnsi="Verdana"/>
          <w:color w:val="000000"/>
          <w:sz w:val="15"/>
          <w:szCs w:val="15"/>
        </w:rPr>
        <w:br/>
      </w:r>
      <w:r>
        <w:rPr>
          <w:rFonts w:ascii="Verdana" w:hAnsi="Verdana"/>
          <w:color w:val="000000"/>
          <w:sz w:val="15"/>
          <w:szCs w:val="15"/>
        </w:rPr>
        <w:br/>
      </w:r>
      <w:r w:rsidR="009C4106">
        <w:rPr>
          <w:rFonts w:ascii="Verdana" w:hAnsi="Verdana"/>
          <w:color w:val="000000"/>
          <w:sz w:val="15"/>
          <w:szCs w:val="15"/>
        </w:rPr>
        <w:t xml:space="preserve">Associação  Brasileira  de  Normas  Técnicas - </w:t>
      </w:r>
      <w:r>
        <w:rPr>
          <w:rFonts w:ascii="Verdana" w:hAnsi="Verdana"/>
          <w:color w:val="000000"/>
          <w:sz w:val="15"/>
          <w:szCs w:val="15"/>
        </w:rPr>
        <w:t>ABNT. ISO/IEC Guia 2. Brasília: ABNT, 2006.</w:t>
      </w:r>
    </w:p>
    <w:p w14:paraId="4ED68BF5" w14:textId="6F7E5C9E" w:rsidR="00164807" w:rsidRPr="009C4106" w:rsidRDefault="009C4106" w:rsidP="00164807">
      <w:pPr>
        <w:pStyle w:val="NormalWeb"/>
        <w:jc w:val="both"/>
        <w:rPr>
          <w:rFonts w:ascii="Verdana" w:hAnsi="Verdana"/>
          <w:color w:val="000000"/>
          <w:sz w:val="15"/>
          <w:szCs w:val="15"/>
        </w:rPr>
      </w:pPr>
      <w:r w:rsidRPr="009C4106">
        <w:rPr>
          <w:rFonts w:ascii="Verdana" w:hAnsi="Verdana"/>
          <w:color w:val="000000"/>
          <w:sz w:val="15"/>
          <w:szCs w:val="15"/>
        </w:rPr>
        <w:t>Comitê Brasileiro de Normalização</w:t>
      </w:r>
      <w:r w:rsidR="00164807" w:rsidRPr="009C4106">
        <w:rPr>
          <w:rFonts w:ascii="Verdana" w:hAnsi="Verdana"/>
          <w:color w:val="000000"/>
          <w:sz w:val="15"/>
          <w:szCs w:val="15"/>
        </w:rPr>
        <w:t>. Termo</w:t>
      </w:r>
      <w:r w:rsidR="00164807" w:rsidRPr="009C4106">
        <w:rPr>
          <w:rFonts w:ascii="Verdana" w:hAnsi="Verdana"/>
          <w:bCs/>
          <w:color w:val="000000"/>
          <w:sz w:val="15"/>
          <w:szCs w:val="15"/>
        </w:rPr>
        <w:t xml:space="preserve"> de referência do SBN. Brasília: Conmetro, 2002.</w:t>
      </w:r>
    </w:p>
    <w:p w14:paraId="754D21F9" w14:textId="6636B18D" w:rsidR="00F47D5D" w:rsidRPr="009C4106" w:rsidRDefault="009C4106" w:rsidP="009C4106">
      <w:pPr>
        <w:pStyle w:val="NormalWeb"/>
        <w:jc w:val="both"/>
        <w:rPr>
          <w:rFonts w:ascii="Verdana" w:hAnsi="Verdana"/>
          <w:color w:val="000000"/>
          <w:sz w:val="15"/>
          <w:szCs w:val="15"/>
        </w:rPr>
      </w:pPr>
      <w:r w:rsidRPr="009C4106">
        <w:rPr>
          <w:rFonts w:ascii="Verdana" w:hAnsi="Verdana"/>
          <w:color w:val="000000"/>
          <w:sz w:val="15"/>
          <w:szCs w:val="15"/>
        </w:rPr>
        <w:t>Comitê Brasileiro de Regulamentação</w:t>
      </w:r>
      <w:r w:rsidR="00164807" w:rsidRPr="009C4106">
        <w:rPr>
          <w:rFonts w:ascii="Verdana" w:hAnsi="Verdana"/>
          <w:color w:val="000000"/>
          <w:sz w:val="15"/>
          <w:szCs w:val="15"/>
        </w:rPr>
        <w:t>. Guia de boas práticas de regulamentação. Brasília: Conmetro, 2007.</w:t>
      </w:r>
    </w:p>
    <w:p w14:paraId="1D44C936" w14:textId="26AF5AD5" w:rsidR="00F47D5D" w:rsidRPr="009C4106" w:rsidRDefault="009C4106" w:rsidP="009C4106">
      <w:pPr>
        <w:pStyle w:val="NormalWeb"/>
        <w:jc w:val="both"/>
        <w:rPr>
          <w:rFonts w:ascii="Verdana" w:hAnsi="Verdana"/>
          <w:color w:val="000000"/>
          <w:sz w:val="15"/>
          <w:szCs w:val="15"/>
        </w:rPr>
      </w:pPr>
      <w:r>
        <w:rPr>
          <w:rFonts w:ascii="Verdana" w:hAnsi="Verdana"/>
          <w:color w:val="000000"/>
          <w:sz w:val="15"/>
          <w:szCs w:val="15"/>
        </w:rPr>
        <w:t>Associação B</w:t>
      </w:r>
      <w:r w:rsidR="004631BA">
        <w:rPr>
          <w:rFonts w:ascii="Verdana" w:hAnsi="Verdana"/>
          <w:color w:val="000000"/>
          <w:sz w:val="15"/>
          <w:szCs w:val="15"/>
        </w:rPr>
        <w:t>rasileira </w:t>
      </w:r>
      <w:r>
        <w:rPr>
          <w:rFonts w:ascii="Verdana" w:hAnsi="Verdana"/>
          <w:color w:val="000000"/>
          <w:sz w:val="15"/>
          <w:szCs w:val="15"/>
        </w:rPr>
        <w:t>de  Normas  Técnicas</w:t>
      </w:r>
      <w:r w:rsidRPr="009C4106">
        <w:rPr>
          <w:rFonts w:ascii="Verdana" w:hAnsi="Verdana"/>
          <w:color w:val="000000"/>
          <w:sz w:val="15"/>
          <w:szCs w:val="15"/>
        </w:rPr>
        <w:t xml:space="preserve">  - </w:t>
      </w:r>
      <w:r w:rsidR="00F47D5D" w:rsidRPr="009C4106">
        <w:rPr>
          <w:rFonts w:ascii="Verdana" w:hAnsi="Verdana"/>
          <w:color w:val="000000"/>
          <w:sz w:val="15"/>
          <w:szCs w:val="15"/>
        </w:rPr>
        <w:t>ABNT. ISO/IEC Guia 2. Brasília: ABNT, 2006.</w:t>
      </w:r>
    </w:p>
    <w:sectPr w:rsidR="00F47D5D" w:rsidRPr="009C4106" w:rsidSect="009C4106">
      <w:headerReference w:type="default" r:id="rId32"/>
      <w:footerReference w:type="default" r:id="rId33"/>
      <w:pgSz w:w="11906" w:h="16838"/>
      <w:pgMar w:top="1276" w:right="1418" w:bottom="1135"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758DB" w14:textId="77777777" w:rsidR="00224D01" w:rsidRDefault="00224D01">
      <w:r>
        <w:separator/>
      </w:r>
    </w:p>
  </w:endnote>
  <w:endnote w:type="continuationSeparator" w:id="0">
    <w:p w14:paraId="2E0FB555" w14:textId="77777777" w:rsidR="00224D01" w:rsidRDefault="00224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6A731" w14:textId="56C624DF" w:rsidR="009A20A7" w:rsidRDefault="009A20A7">
    <w:pPr>
      <w:pStyle w:val="Rodap"/>
      <w:jc w:val="right"/>
    </w:pPr>
  </w:p>
  <w:p w14:paraId="38A8F538" w14:textId="77777777" w:rsidR="009A20A7" w:rsidRDefault="009A20A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4900986"/>
      <w:docPartObj>
        <w:docPartGallery w:val="Page Numbers (Bottom of Page)"/>
        <w:docPartUnique/>
      </w:docPartObj>
    </w:sdtPr>
    <w:sdtEndPr/>
    <w:sdtContent>
      <w:p w14:paraId="4371E9D2" w14:textId="70C715F0" w:rsidR="009C4106" w:rsidRDefault="009C4106">
        <w:pPr>
          <w:pStyle w:val="Rodap"/>
          <w:jc w:val="right"/>
        </w:pPr>
        <w:r>
          <w:fldChar w:fldCharType="begin"/>
        </w:r>
        <w:r>
          <w:instrText>PAGE   \* MERGEFORMAT</w:instrText>
        </w:r>
        <w:r>
          <w:fldChar w:fldCharType="separate"/>
        </w:r>
        <w:r w:rsidR="00596CE3">
          <w:rPr>
            <w:noProof/>
          </w:rPr>
          <w:t>20</w:t>
        </w:r>
        <w:r>
          <w:fldChar w:fldCharType="end"/>
        </w:r>
      </w:p>
    </w:sdtContent>
  </w:sdt>
  <w:p w14:paraId="05463CCF" w14:textId="77777777" w:rsidR="00D15A76" w:rsidRDefault="00D15A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DD30C" w14:textId="77777777" w:rsidR="00224D01" w:rsidRDefault="00224D01">
      <w:r>
        <w:separator/>
      </w:r>
    </w:p>
  </w:footnote>
  <w:footnote w:type="continuationSeparator" w:id="0">
    <w:p w14:paraId="196D82EA" w14:textId="77777777" w:rsidR="00224D01" w:rsidRDefault="00224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CAA0A" w14:textId="01FFBD2E" w:rsidR="009A20A7" w:rsidRDefault="00131B13">
    <w:pPr>
      <w:pStyle w:val="Cabealho"/>
    </w:pPr>
    <w:r>
      <w:rPr>
        <w:noProof/>
        <w:lang w:eastAsia="pt-BR"/>
      </w:rPr>
      <w:drawing>
        <wp:anchor distT="0" distB="0" distL="114300" distR="114300" simplePos="0" relativeHeight="251666432" behindDoc="0" locked="0" layoutInCell="1" allowOverlap="1" wp14:anchorId="7A09F470" wp14:editId="694D98EA">
          <wp:simplePos x="0" y="0"/>
          <wp:positionH relativeFrom="column">
            <wp:posOffset>-113484</wp:posOffset>
          </wp:positionH>
          <wp:positionV relativeFrom="paragraph">
            <wp:posOffset>250371</wp:posOffset>
          </wp:positionV>
          <wp:extent cx="5579745" cy="268903"/>
          <wp:effectExtent l="0" t="0" r="0" b="0"/>
          <wp:wrapSquare wrapText="bothSides"/>
          <wp:docPr id="9" name="Imagem 9" descr="http://entib.org.br/entib/imagens/cab_box_grid-FAML_1_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cab_box_grid-FAML_1_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2689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F6A">
      <w:rPr>
        <w:noProof/>
        <w:lang w:eastAsia="pt-BR"/>
      </w:rPr>
      <w:drawing>
        <wp:anchor distT="0" distB="0" distL="114300" distR="114300" simplePos="0" relativeHeight="251665408" behindDoc="1" locked="0" layoutInCell="1" allowOverlap="1" wp14:anchorId="5740E9A9" wp14:editId="339AB87D">
          <wp:simplePos x="0" y="0"/>
          <wp:positionH relativeFrom="page">
            <wp:align>left</wp:align>
          </wp:positionH>
          <wp:positionV relativeFrom="paragraph">
            <wp:posOffset>0</wp:posOffset>
          </wp:positionV>
          <wp:extent cx="7514977" cy="10629900"/>
          <wp:effectExtent l="0" t="0" r="0" b="0"/>
          <wp:wrapNone/>
          <wp:docPr id="24" name="Imagem 24" descr="C:\Users\Aline\Desktop\Folha-de-rosto-E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de-rosto-Enti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4977" cy="1062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F6C" w:rsidRPr="00145F6C">
      <w:rPr>
        <w:noProof/>
        <w:lang w:eastAsia="pt-BR"/>
      </w:rPr>
      <w:drawing>
        <wp:anchor distT="0" distB="0" distL="114300" distR="114300" simplePos="0" relativeHeight="251663360" behindDoc="1" locked="0" layoutInCell="1" allowOverlap="1" wp14:anchorId="6F3A08EB" wp14:editId="0D953444">
          <wp:simplePos x="0" y="0"/>
          <wp:positionH relativeFrom="margin">
            <wp:align>right</wp:align>
          </wp:positionH>
          <wp:positionV relativeFrom="paragraph">
            <wp:posOffset>268605</wp:posOffset>
          </wp:positionV>
          <wp:extent cx="5579745" cy="268903"/>
          <wp:effectExtent l="0" t="0" r="0" b="0"/>
          <wp:wrapNone/>
          <wp:docPr id="14" name="Imagem 14" descr="C:\Users\Aline\Dropbox\2 - Projeto Entib\19 -  Formação de agentes de ML\Capas\cab_box_grid-FAML_1_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line\Dropbox\2 - Projeto Entib\19 -  Formação de agentes de ML\Capas\cab_box_grid-FAML_1_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268903"/>
                  </a:xfrm>
                  <a:prstGeom prst="rect">
                    <a:avLst/>
                  </a:prstGeom>
                  <a:noFill/>
                  <a:ln>
                    <a:noFill/>
                  </a:ln>
                </pic:spPr>
              </pic:pic>
            </a:graphicData>
          </a:graphic>
          <wp14:sizeRelH relativeFrom="page">
            <wp14:pctWidth>0</wp14:pctWidth>
          </wp14:sizeRelH>
          <wp14:sizeRelV relativeFrom="page">
            <wp14:pctHeight>0</wp14:pctHeight>
          </wp14:sizeRelV>
        </wp:anchor>
      </w:drawing>
    </w:r>
    <w:r w:rsidR="00145F6C" w:rsidRPr="00527A68">
      <w:rPr>
        <w:noProof/>
        <w:lang w:eastAsia="pt-BR"/>
      </w:rPr>
      <w:t xml:space="preserve"> </w:t>
    </w:r>
    <w:r w:rsidR="00145F6C" w:rsidRPr="008C1A44">
      <w:rPr>
        <w:noProof/>
        <w:lang w:eastAsia="pt-BR"/>
      </w:rPr>
      <w:t xml:space="preserve"> </w:t>
    </w:r>
    <w:r w:rsidR="00EA080E" w:rsidRPr="00527A68">
      <w:rPr>
        <w:noProof/>
        <w:lang w:eastAsia="pt-BR"/>
      </w:rPr>
      <w:t xml:space="preserve"> </w:t>
    </w:r>
    <w:r w:rsidR="009A20A7" w:rsidRPr="00527A68">
      <w:rPr>
        <w:noProof/>
        <w:lang w:eastAsia="pt-BR"/>
      </w:rPr>
      <w:t xml:space="preserve">  </w:t>
    </w:r>
  </w:p>
  <w:p w14:paraId="4FDBEEFA" w14:textId="6248489A" w:rsidR="00D15A76" w:rsidRDefault="00D15A76"/>
  <w:p w14:paraId="680B9D60" w14:textId="7048596C" w:rsidR="00D15A76" w:rsidRDefault="00D15A76"/>
  <w:p w14:paraId="64D5B8D1" w14:textId="44C4D89A" w:rsidR="00D15A76" w:rsidRDefault="00D15A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E60C2"/>
    <w:multiLevelType w:val="hybridMultilevel"/>
    <w:tmpl w:val="94D8CACC"/>
    <w:lvl w:ilvl="0" w:tplc="8794C404">
      <w:start w:val="1"/>
      <w:numFmt w:val="lowerLetter"/>
      <w:lvlText w:val="%1)"/>
      <w:lvlJc w:val="left"/>
      <w:pPr>
        <w:ind w:left="1702" w:hanging="340"/>
        <w:jc w:val="right"/>
      </w:pPr>
      <w:rPr>
        <w:rFonts w:hint="default"/>
        <w:spacing w:val="-15"/>
        <w:w w:val="86"/>
      </w:rPr>
    </w:lvl>
    <w:lvl w:ilvl="1" w:tplc="4306A7FE">
      <w:numFmt w:val="bullet"/>
      <w:lvlText w:val="•"/>
      <w:lvlJc w:val="left"/>
      <w:pPr>
        <w:ind w:left="2648" w:hanging="340"/>
      </w:pPr>
      <w:rPr>
        <w:rFonts w:hint="default"/>
      </w:rPr>
    </w:lvl>
    <w:lvl w:ilvl="2" w:tplc="26644D82">
      <w:numFmt w:val="bullet"/>
      <w:lvlText w:val="•"/>
      <w:lvlJc w:val="left"/>
      <w:pPr>
        <w:ind w:left="3597" w:hanging="340"/>
      </w:pPr>
      <w:rPr>
        <w:rFonts w:hint="default"/>
      </w:rPr>
    </w:lvl>
    <w:lvl w:ilvl="3" w:tplc="0C1E2D40">
      <w:numFmt w:val="bullet"/>
      <w:lvlText w:val="•"/>
      <w:lvlJc w:val="left"/>
      <w:pPr>
        <w:ind w:left="4545" w:hanging="340"/>
      </w:pPr>
      <w:rPr>
        <w:rFonts w:hint="default"/>
      </w:rPr>
    </w:lvl>
    <w:lvl w:ilvl="4" w:tplc="48684256">
      <w:numFmt w:val="bullet"/>
      <w:lvlText w:val="•"/>
      <w:lvlJc w:val="left"/>
      <w:pPr>
        <w:ind w:left="5494" w:hanging="340"/>
      </w:pPr>
      <w:rPr>
        <w:rFonts w:hint="default"/>
      </w:rPr>
    </w:lvl>
    <w:lvl w:ilvl="5" w:tplc="4BAED6FC">
      <w:numFmt w:val="bullet"/>
      <w:lvlText w:val="•"/>
      <w:lvlJc w:val="left"/>
      <w:pPr>
        <w:ind w:left="6443" w:hanging="340"/>
      </w:pPr>
      <w:rPr>
        <w:rFonts w:hint="default"/>
      </w:rPr>
    </w:lvl>
    <w:lvl w:ilvl="6" w:tplc="FFD2A51E">
      <w:numFmt w:val="bullet"/>
      <w:lvlText w:val="•"/>
      <w:lvlJc w:val="left"/>
      <w:pPr>
        <w:ind w:left="7391" w:hanging="340"/>
      </w:pPr>
      <w:rPr>
        <w:rFonts w:hint="default"/>
      </w:rPr>
    </w:lvl>
    <w:lvl w:ilvl="7" w:tplc="F18C5164">
      <w:numFmt w:val="bullet"/>
      <w:lvlText w:val="•"/>
      <w:lvlJc w:val="left"/>
      <w:pPr>
        <w:ind w:left="8340" w:hanging="340"/>
      </w:pPr>
      <w:rPr>
        <w:rFonts w:hint="default"/>
      </w:rPr>
    </w:lvl>
    <w:lvl w:ilvl="8" w:tplc="E620FA64">
      <w:numFmt w:val="bullet"/>
      <w:lvlText w:val="•"/>
      <w:lvlJc w:val="left"/>
      <w:pPr>
        <w:ind w:left="9289" w:hanging="340"/>
      </w:pPr>
      <w:rPr>
        <w:rFonts w:hint="default"/>
      </w:rPr>
    </w:lvl>
  </w:abstractNum>
  <w:abstractNum w:abstractNumId="1" w15:restartNumberingAfterBreak="0">
    <w:nsid w:val="28F27D8B"/>
    <w:multiLevelType w:val="multilevel"/>
    <w:tmpl w:val="BE1E21FA"/>
    <w:lvl w:ilvl="0">
      <w:start w:val="1"/>
      <w:numFmt w:val="decimal"/>
      <w:lvlText w:val="%1."/>
      <w:lvlJc w:val="left"/>
      <w:pPr>
        <w:ind w:left="360" w:hanging="360"/>
      </w:pPr>
      <w:rPr>
        <w:rFonts w:hint="default"/>
        <w:color w:val="0066B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ABB79D1"/>
    <w:multiLevelType w:val="hybridMultilevel"/>
    <w:tmpl w:val="35E886B2"/>
    <w:lvl w:ilvl="0" w:tplc="E168E53C">
      <w:numFmt w:val="bullet"/>
      <w:lvlText w:val="●"/>
      <w:lvlJc w:val="left"/>
      <w:pPr>
        <w:ind w:left="6377" w:hanging="284"/>
      </w:pPr>
      <w:rPr>
        <w:rFonts w:ascii="Arial" w:eastAsia="Arial" w:hAnsi="Arial" w:cs="Arial" w:hint="default"/>
        <w:w w:val="100"/>
        <w:sz w:val="28"/>
        <w:szCs w:val="28"/>
      </w:rPr>
    </w:lvl>
    <w:lvl w:ilvl="1" w:tplc="D31C53CC">
      <w:numFmt w:val="bullet"/>
      <w:lvlText w:val="•"/>
      <w:lvlJc w:val="left"/>
      <w:pPr>
        <w:ind w:left="7357" w:hanging="284"/>
      </w:pPr>
      <w:rPr>
        <w:rFonts w:hint="default"/>
      </w:rPr>
    </w:lvl>
    <w:lvl w:ilvl="2" w:tplc="255A458C">
      <w:numFmt w:val="bullet"/>
      <w:lvlText w:val="•"/>
      <w:lvlJc w:val="left"/>
      <w:pPr>
        <w:ind w:left="8335" w:hanging="284"/>
      </w:pPr>
      <w:rPr>
        <w:rFonts w:hint="default"/>
      </w:rPr>
    </w:lvl>
    <w:lvl w:ilvl="3" w:tplc="94E46D9E">
      <w:numFmt w:val="bullet"/>
      <w:lvlText w:val="•"/>
      <w:lvlJc w:val="left"/>
      <w:pPr>
        <w:ind w:left="9313" w:hanging="284"/>
      </w:pPr>
      <w:rPr>
        <w:rFonts w:hint="default"/>
      </w:rPr>
    </w:lvl>
    <w:lvl w:ilvl="4" w:tplc="AF50176E">
      <w:numFmt w:val="bullet"/>
      <w:lvlText w:val="•"/>
      <w:lvlJc w:val="left"/>
      <w:pPr>
        <w:ind w:left="10291" w:hanging="284"/>
      </w:pPr>
      <w:rPr>
        <w:rFonts w:hint="default"/>
      </w:rPr>
    </w:lvl>
    <w:lvl w:ilvl="5" w:tplc="496040B6">
      <w:numFmt w:val="bullet"/>
      <w:lvlText w:val="•"/>
      <w:lvlJc w:val="left"/>
      <w:pPr>
        <w:ind w:left="11268" w:hanging="284"/>
      </w:pPr>
      <w:rPr>
        <w:rFonts w:hint="default"/>
      </w:rPr>
    </w:lvl>
    <w:lvl w:ilvl="6" w:tplc="F77CE660">
      <w:numFmt w:val="bullet"/>
      <w:lvlText w:val="•"/>
      <w:lvlJc w:val="left"/>
      <w:pPr>
        <w:ind w:left="12246" w:hanging="284"/>
      </w:pPr>
      <w:rPr>
        <w:rFonts w:hint="default"/>
      </w:rPr>
    </w:lvl>
    <w:lvl w:ilvl="7" w:tplc="941CA500">
      <w:numFmt w:val="bullet"/>
      <w:lvlText w:val="•"/>
      <w:lvlJc w:val="left"/>
      <w:pPr>
        <w:ind w:left="13224" w:hanging="284"/>
      </w:pPr>
      <w:rPr>
        <w:rFonts w:hint="default"/>
      </w:rPr>
    </w:lvl>
    <w:lvl w:ilvl="8" w:tplc="97C6F84C">
      <w:numFmt w:val="bullet"/>
      <w:lvlText w:val="•"/>
      <w:lvlJc w:val="left"/>
      <w:pPr>
        <w:ind w:left="14202" w:hanging="284"/>
      </w:pPr>
      <w:rPr>
        <w:rFonts w:hint="default"/>
      </w:rPr>
    </w:lvl>
  </w:abstractNum>
  <w:abstractNum w:abstractNumId="3" w15:restartNumberingAfterBreak="0">
    <w:nsid w:val="2F8B1CD2"/>
    <w:multiLevelType w:val="hybridMultilevel"/>
    <w:tmpl w:val="C9F681F0"/>
    <w:lvl w:ilvl="0" w:tplc="3E06DCC0">
      <w:numFmt w:val="bullet"/>
      <w:lvlText w:val="●"/>
      <w:lvlJc w:val="left"/>
      <w:pPr>
        <w:ind w:left="1042" w:hanging="227"/>
      </w:pPr>
      <w:rPr>
        <w:rFonts w:ascii="Arial" w:eastAsia="Arial" w:hAnsi="Arial" w:cs="Arial" w:hint="default"/>
        <w:w w:val="100"/>
        <w:sz w:val="28"/>
        <w:szCs w:val="28"/>
      </w:rPr>
    </w:lvl>
    <w:lvl w:ilvl="1" w:tplc="6504A2F0">
      <w:numFmt w:val="bullet"/>
      <w:lvlText w:val="•"/>
      <w:lvlJc w:val="left"/>
      <w:pPr>
        <w:ind w:left="2054" w:hanging="227"/>
      </w:pPr>
      <w:rPr>
        <w:rFonts w:hint="default"/>
      </w:rPr>
    </w:lvl>
    <w:lvl w:ilvl="2" w:tplc="6A8E3B18">
      <w:numFmt w:val="bullet"/>
      <w:lvlText w:val="•"/>
      <w:lvlJc w:val="left"/>
      <w:pPr>
        <w:ind w:left="3069" w:hanging="227"/>
      </w:pPr>
      <w:rPr>
        <w:rFonts w:hint="default"/>
      </w:rPr>
    </w:lvl>
    <w:lvl w:ilvl="3" w:tplc="833E5782">
      <w:numFmt w:val="bullet"/>
      <w:lvlText w:val="•"/>
      <w:lvlJc w:val="left"/>
      <w:pPr>
        <w:ind w:left="4083" w:hanging="227"/>
      </w:pPr>
      <w:rPr>
        <w:rFonts w:hint="default"/>
      </w:rPr>
    </w:lvl>
    <w:lvl w:ilvl="4" w:tplc="8E06E5C6">
      <w:numFmt w:val="bullet"/>
      <w:lvlText w:val="•"/>
      <w:lvlJc w:val="left"/>
      <w:pPr>
        <w:ind w:left="5098" w:hanging="227"/>
      </w:pPr>
      <w:rPr>
        <w:rFonts w:hint="default"/>
      </w:rPr>
    </w:lvl>
    <w:lvl w:ilvl="5" w:tplc="6DEC8F42">
      <w:numFmt w:val="bullet"/>
      <w:lvlText w:val="•"/>
      <w:lvlJc w:val="left"/>
      <w:pPr>
        <w:ind w:left="6113" w:hanging="227"/>
      </w:pPr>
      <w:rPr>
        <w:rFonts w:hint="default"/>
      </w:rPr>
    </w:lvl>
    <w:lvl w:ilvl="6" w:tplc="838AE37C">
      <w:numFmt w:val="bullet"/>
      <w:lvlText w:val="•"/>
      <w:lvlJc w:val="left"/>
      <w:pPr>
        <w:ind w:left="7127" w:hanging="227"/>
      </w:pPr>
      <w:rPr>
        <w:rFonts w:hint="default"/>
      </w:rPr>
    </w:lvl>
    <w:lvl w:ilvl="7" w:tplc="9880FBA0">
      <w:numFmt w:val="bullet"/>
      <w:lvlText w:val="•"/>
      <w:lvlJc w:val="left"/>
      <w:pPr>
        <w:ind w:left="8142" w:hanging="227"/>
      </w:pPr>
      <w:rPr>
        <w:rFonts w:hint="default"/>
      </w:rPr>
    </w:lvl>
    <w:lvl w:ilvl="8" w:tplc="F2D2E5FE">
      <w:numFmt w:val="bullet"/>
      <w:lvlText w:val="•"/>
      <w:lvlJc w:val="left"/>
      <w:pPr>
        <w:ind w:left="9157" w:hanging="227"/>
      </w:pPr>
      <w:rPr>
        <w:rFonts w:hint="default"/>
      </w:rPr>
    </w:lvl>
  </w:abstractNum>
  <w:abstractNum w:abstractNumId="4" w15:restartNumberingAfterBreak="0">
    <w:nsid w:val="33825159"/>
    <w:multiLevelType w:val="hybridMultilevel"/>
    <w:tmpl w:val="3618B8D6"/>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5" w15:restartNumberingAfterBreak="0">
    <w:nsid w:val="34316705"/>
    <w:multiLevelType w:val="hybridMultilevel"/>
    <w:tmpl w:val="00422B1C"/>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6" w15:restartNumberingAfterBreak="0">
    <w:nsid w:val="355C4015"/>
    <w:multiLevelType w:val="hybridMultilevel"/>
    <w:tmpl w:val="E9E23178"/>
    <w:lvl w:ilvl="0" w:tplc="43FA245C">
      <w:start w:val="1"/>
      <w:numFmt w:val="bullet"/>
      <w:lvlText w:val=""/>
      <w:lvlJc w:val="left"/>
      <w:pPr>
        <w:ind w:left="1572" w:hanging="360"/>
      </w:pPr>
      <w:rPr>
        <w:rFonts w:ascii="Symbol" w:hAnsi="Symbol" w:hint="default"/>
        <w:spacing w:val="0"/>
      </w:rPr>
    </w:lvl>
    <w:lvl w:ilvl="1" w:tplc="04160003" w:tentative="1">
      <w:start w:val="1"/>
      <w:numFmt w:val="bullet"/>
      <w:lvlText w:val="o"/>
      <w:lvlJc w:val="left"/>
      <w:pPr>
        <w:ind w:left="2292" w:hanging="360"/>
      </w:pPr>
      <w:rPr>
        <w:rFonts w:ascii="Courier New" w:hAnsi="Courier New" w:cs="Courier New" w:hint="default"/>
      </w:rPr>
    </w:lvl>
    <w:lvl w:ilvl="2" w:tplc="04160005" w:tentative="1">
      <w:start w:val="1"/>
      <w:numFmt w:val="bullet"/>
      <w:lvlText w:val=""/>
      <w:lvlJc w:val="left"/>
      <w:pPr>
        <w:ind w:left="3012" w:hanging="360"/>
      </w:pPr>
      <w:rPr>
        <w:rFonts w:ascii="Wingdings" w:hAnsi="Wingdings" w:hint="default"/>
      </w:rPr>
    </w:lvl>
    <w:lvl w:ilvl="3" w:tplc="04160001" w:tentative="1">
      <w:start w:val="1"/>
      <w:numFmt w:val="bullet"/>
      <w:lvlText w:val=""/>
      <w:lvlJc w:val="left"/>
      <w:pPr>
        <w:ind w:left="3732" w:hanging="360"/>
      </w:pPr>
      <w:rPr>
        <w:rFonts w:ascii="Symbol" w:hAnsi="Symbol" w:hint="default"/>
      </w:rPr>
    </w:lvl>
    <w:lvl w:ilvl="4" w:tplc="04160003" w:tentative="1">
      <w:start w:val="1"/>
      <w:numFmt w:val="bullet"/>
      <w:lvlText w:val="o"/>
      <w:lvlJc w:val="left"/>
      <w:pPr>
        <w:ind w:left="4452" w:hanging="360"/>
      </w:pPr>
      <w:rPr>
        <w:rFonts w:ascii="Courier New" w:hAnsi="Courier New" w:cs="Courier New" w:hint="default"/>
      </w:rPr>
    </w:lvl>
    <w:lvl w:ilvl="5" w:tplc="04160005" w:tentative="1">
      <w:start w:val="1"/>
      <w:numFmt w:val="bullet"/>
      <w:lvlText w:val=""/>
      <w:lvlJc w:val="left"/>
      <w:pPr>
        <w:ind w:left="5172" w:hanging="360"/>
      </w:pPr>
      <w:rPr>
        <w:rFonts w:ascii="Wingdings" w:hAnsi="Wingdings" w:hint="default"/>
      </w:rPr>
    </w:lvl>
    <w:lvl w:ilvl="6" w:tplc="04160001" w:tentative="1">
      <w:start w:val="1"/>
      <w:numFmt w:val="bullet"/>
      <w:lvlText w:val=""/>
      <w:lvlJc w:val="left"/>
      <w:pPr>
        <w:ind w:left="5892" w:hanging="360"/>
      </w:pPr>
      <w:rPr>
        <w:rFonts w:ascii="Symbol" w:hAnsi="Symbol" w:hint="default"/>
      </w:rPr>
    </w:lvl>
    <w:lvl w:ilvl="7" w:tplc="04160003" w:tentative="1">
      <w:start w:val="1"/>
      <w:numFmt w:val="bullet"/>
      <w:lvlText w:val="o"/>
      <w:lvlJc w:val="left"/>
      <w:pPr>
        <w:ind w:left="6612" w:hanging="360"/>
      </w:pPr>
      <w:rPr>
        <w:rFonts w:ascii="Courier New" w:hAnsi="Courier New" w:cs="Courier New" w:hint="default"/>
      </w:rPr>
    </w:lvl>
    <w:lvl w:ilvl="8" w:tplc="04160005" w:tentative="1">
      <w:start w:val="1"/>
      <w:numFmt w:val="bullet"/>
      <w:lvlText w:val=""/>
      <w:lvlJc w:val="left"/>
      <w:pPr>
        <w:ind w:left="7332" w:hanging="360"/>
      </w:pPr>
      <w:rPr>
        <w:rFonts w:ascii="Wingdings" w:hAnsi="Wingdings" w:hint="default"/>
      </w:rPr>
    </w:lvl>
  </w:abstractNum>
  <w:abstractNum w:abstractNumId="7" w15:restartNumberingAfterBreak="0">
    <w:nsid w:val="37340108"/>
    <w:multiLevelType w:val="hybridMultilevel"/>
    <w:tmpl w:val="14F447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F6A1709"/>
    <w:multiLevelType w:val="hybridMultilevel"/>
    <w:tmpl w:val="D39CB5DE"/>
    <w:lvl w:ilvl="0" w:tplc="0416000F">
      <w:start w:val="1"/>
      <w:numFmt w:val="decimal"/>
      <w:lvlText w:val="%1."/>
      <w:lvlJc w:val="left"/>
      <w:pPr>
        <w:ind w:left="192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2882796"/>
    <w:multiLevelType w:val="hybridMultilevel"/>
    <w:tmpl w:val="BEF8CFE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1B42000"/>
    <w:multiLevelType w:val="hybridMultilevel"/>
    <w:tmpl w:val="ACDE5A0E"/>
    <w:lvl w:ilvl="0" w:tplc="333013DE">
      <w:numFmt w:val="bullet"/>
      <w:lvlText w:val="●"/>
      <w:lvlJc w:val="left"/>
      <w:pPr>
        <w:ind w:left="1916" w:hanging="284"/>
      </w:pPr>
      <w:rPr>
        <w:rFonts w:ascii="Arial" w:eastAsia="Arial" w:hAnsi="Arial" w:cs="Arial" w:hint="default"/>
        <w:w w:val="100"/>
        <w:sz w:val="28"/>
        <w:szCs w:val="28"/>
      </w:rPr>
    </w:lvl>
    <w:lvl w:ilvl="1" w:tplc="93D872E2">
      <w:numFmt w:val="bullet"/>
      <w:lvlText w:val="●"/>
      <w:lvlJc w:val="left"/>
      <w:pPr>
        <w:ind w:left="6887" w:hanging="284"/>
      </w:pPr>
      <w:rPr>
        <w:rFonts w:ascii="Arial" w:eastAsia="Arial" w:hAnsi="Arial" w:cs="Arial" w:hint="default"/>
        <w:w w:val="100"/>
        <w:sz w:val="28"/>
        <w:szCs w:val="28"/>
      </w:rPr>
    </w:lvl>
    <w:lvl w:ilvl="2" w:tplc="BF2A4DEC">
      <w:numFmt w:val="bullet"/>
      <w:lvlText w:val="•"/>
      <w:lvlJc w:val="left"/>
      <w:pPr>
        <w:ind w:left="7358" w:hanging="284"/>
      </w:pPr>
      <w:rPr>
        <w:rFonts w:hint="default"/>
      </w:rPr>
    </w:lvl>
    <w:lvl w:ilvl="3" w:tplc="A6B26ADE">
      <w:numFmt w:val="bullet"/>
      <w:lvlText w:val="•"/>
      <w:lvlJc w:val="left"/>
      <w:pPr>
        <w:ind w:left="7836" w:hanging="284"/>
      </w:pPr>
      <w:rPr>
        <w:rFonts w:hint="default"/>
      </w:rPr>
    </w:lvl>
    <w:lvl w:ilvl="4" w:tplc="37263EBA">
      <w:numFmt w:val="bullet"/>
      <w:lvlText w:val="•"/>
      <w:lvlJc w:val="left"/>
      <w:pPr>
        <w:ind w:left="8315" w:hanging="284"/>
      </w:pPr>
      <w:rPr>
        <w:rFonts w:hint="default"/>
      </w:rPr>
    </w:lvl>
    <w:lvl w:ilvl="5" w:tplc="E7066104">
      <w:numFmt w:val="bullet"/>
      <w:lvlText w:val="•"/>
      <w:lvlJc w:val="left"/>
      <w:pPr>
        <w:ind w:left="8793" w:hanging="284"/>
      </w:pPr>
      <w:rPr>
        <w:rFonts w:hint="default"/>
      </w:rPr>
    </w:lvl>
    <w:lvl w:ilvl="6" w:tplc="759A1EE8">
      <w:numFmt w:val="bullet"/>
      <w:lvlText w:val="•"/>
      <w:lvlJc w:val="left"/>
      <w:pPr>
        <w:ind w:left="9272" w:hanging="284"/>
      </w:pPr>
      <w:rPr>
        <w:rFonts w:hint="default"/>
      </w:rPr>
    </w:lvl>
    <w:lvl w:ilvl="7" w:tplc="063C65EE">
      <w:numFmt w:val="bullet"/>
      <w:lvlText w:val="•"/>
      <w:lvlJc w:val="left"/>
      <w:pPr>
        <w:ind w:left="9750" w:hanging="284"/>
      </w:pPr>
      <w:rPr>
        <w:rFonts w:hint="default"/>
      </w:rPr>
    </w:lvl>
    <w:lvl w:ilvl="8" w:tplc="F7309C5E">
      <w:numFmt w:val="bullet"/>
      <w:lvlText w:val="•"/>
      <w:lvlJc w:val="left"/>
      <w:pPr>
        <w:ind w:left="10229" w:hanging="284"/>
      </w:pPr>
      <w:rPr>
        <w:rFonts w:hint="default"/>
      </w:rPr>
    </w:lvl>
  </w:abstractNum>
  <w:abstractNum w:abstractNumId="11" w15:restartNumberingAfterBreak="0">
    <w:nsid w:val="58225FBA"/>
    <w:multiLevelType w:val="hybridMultilevel"/>
    <w:tmpl w:val="44000850"/>
    <w:lvl w:ilvl="0" w:tplc="FD962564">
      <w:start w:val="1"/>
      <w:numFmt w:val="bullet"/>
      <w:lvlText w:val=""/>
      <w:lvlJc w:val="left"/>
      <w:pPr>
        <w:ind w:left="643" w:hanging="360"/>
      </w:pPr>
      <w:rPr>
        <w:rFonts w:ascii="Wingdings" w:hAnsi="Wingdings" w:hint="default"/>
        <w:spacing w:val="0"/>
        <w:position w:val="0"/>
        <w14:ligatures w14:val="none"/>
        <w14:stylisticSets/>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12" w15:restartNumberingAfterBreak="0">
    <w:nsid w:val="61A12286"/>
    <w:multiLevelType w:val="hybridMultilevel"/>
    <w:tmpl w:val="6A468EB0"/>
    <w:lvl w:ilvl="0" w:tplc="9CFAB9DC">
      <w:numFmt w:val="bullet"/>
      <w:lvlText w:val="●"/>
      <w:lvlJc w:val="left"/>
      <w:pPr>
        <w:ind w:left="226" w:hanging="227"/>
      </w:pPr>
      <w:rPr>
        <w:rFonts w:ascii="Arial" w:eastAsia="Arial" w:hAnsi="Arial" w:cs="Arial" w:hint="default"/>
        <w:w w:val="100"/>
        <w:sz w:val="28"/>
        <w:szCs w:val="28"/>
      </w:rPr>
    </w:lvl>
    <w:lvl w:ilvl="1" w:tplc="C832B752">
      <w:numFmt w:val="bullet"/>
      <w:lvlText w:val="●"/>
      <w:lvlJc w:val="left"/>
      <w:pPr>
        <w:ind w:left="5981" w:hanging="227"/>
      </w:pPr>
      <w:rPr>
        <w:rFonts w:ascii="Arial" w:eastAsia="Arial" w:hAnsi="Arial" w:cs="Arial" w:hint="default"/>
        <w:w w:val="100"/>
        <w:sz w:val="28"/>
        <w:szCs w:val="28"/>
      </w:rPr>
    </w:lvl>
    <w:lvl w:ilvl="2" w:tplc="71CE7EF2">
      <w:numFmt w:val="bullet"/>
      <w:lvlText w:val="•"/>
      <w:lvlJc w:val="left"/>
      <w:pPr>
        <w:ind w:left="6471" w:hanging="227"/>
      </w:pPr>
      <w:rPr>
        <w:rFonts w:hint="default"/>
      </w:rPr>
    </w:lvl>
    <w:lvl w:ilvl="3" w:tplc="67F82A4E">
      <w:numFmt w:val="bullet"/>
      <w:lvlText w:val="•"/>
      <w:lvlJc w:val="left"/>
      <w:pPr>
        <w:ind w:left="6963" w:hanging="227"/>
      </w:pPr>
      <w:rPr>
        <w:rFonts w:hint="default"/>
      </w:rPr>
    </w:lvl>
    <w:lvl w:ilvl="4" w:tplc="6A468B0E">
      <w:numFmt w:val="bullet"/>
      <w:lvlText w:val="•"/>
      <w:lvlJc w:val="left"/>
      <w:pPr>
        <w:ind w:left="7454" w:hanging="227"/>
      </w:pPr>
      <w:rPr>
        <w:rFonts w:hint="default"/>
      </w:rPr>
    </w:lvl>
    <w:lvl w:ilvl="5" w:tplc="FC52609A">
      <w:numFmt w:val="bullet"/>
      <w:lvlText w:val="•"/>
      <w:lvlJc w:val="left"/>
      <w:pPr>
        <w:ind w:left="7946" w:hanging="227"/>
      </w:pPr>
      <w:rPr>
        <w:rFonts w:hint="default"/>
      </w:rPr>
    </w:lvl>
    <w:lvl w:ilvl="6" w:tplc="90104060">
      <w:numFmt w:val="bullet"/>
      <w:lvlText w:val="•"/>
      <w:lvlJc w:val="left"/>
      <w:pPr>
        <w:ind w:left="8437" w:hanging="227"/>
      </w:pPr>
      <w:rPr>
        <w:rFonts w:hint="default"/>
      </w:rPr>
    </w:lvl>
    <w:lvl w:ilvl="7" w:tplc="1F401D84">
      <w:numFmt w:val="bullet"/>
      <w:lvlText w:val="•"/>
      <w:lvlJc w:val="left"/>
      <w:pPr>
        <w:ind w:left="8929" w:hanging="227"/>
      </w:pPr>
      <w:rPr>
        <w:rFonts w:hint="default"/>
      </w:rPr>
    </w:lvl>
    <w:lvl w:ilvl="8" w:tplc="D2E8A2B0">
      <w:numFmt w:val="bullet"/>
      <w:lvlText w:val="•"/>
      <w:lvlJc w:val="left"/>
      <w:pPr>
        <w:ind w:left="9420" w:hanging="227"/>
      </w:pPr>
      <w:rPr>
        <w:rFonts w:hint="default"/>
      </w:rPr>
    </w:lvl>
  </w:abstractNum>
  <w:num w:numId="1">
    <w:abstractNumId w:val="7"/>
  </w:num>
  <w:num w:numId="2">
    <w:abstractNumId w:val="11"/>
  </w:num>
  <w:num w:numId="3">
    <w:abstractNumId w:val="4"/>
  </w:num>
  <w:num w:numId="4">
    <w:abstractNumId w:val="5"/>
  </w:num>
  <w:num w:numId="5">
    <w:abstractNumId w:val="9"/>
  </w:num>
  <w:num w:numId="6">
    <w:abstractNumId w:val="10"/>
  </w:num>
  <w:num w:numId="7">
    <w:abstractNumId w:val="2"/>
  </w:num>
  <w:num w:numId="8">
    <w:abstractNumId w:val="0"/>
  </w:num>
  <w:num w:numId="9">
    <w:abstractNumId w:val="3"/>
  </w:num>
  <w:num w:numId="10">
    <w:abstractNumId w:val="12"/>
  </w:num>
  <w:num w:numId="11">
    <w:abstractNumId w:val="6"/>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F6A"/>
    <w:rsid w:val="00002E91"/>
    <w:rsid w:val="00035F8F"/>
    <w:rsid w:val="00054570"/>
    <w:rsid w:val="00057063"/>
    <w:rsid w:val="0006185F"/>
    <w:rsid w:val="000800F4"/>
    <w:rsid w:val="00083B82"/>
    <w:rsid w:val="000C771F"/>
    <w:rsid w:val="000D38A1"/>
    <w:rsid w:val="000E0A83"/>
    <w:rsid w:val="000E4BF1"/>
    <w:rsid w:val="000F40B2"/>
    <w:rsid w:val="00130096"/>
    <w:rsid w:val="00131B13"/>
    <w:rsid w:val="00134CCE"/>
    <w:rsid w:val="00135515"/>
    <w:rsid w:val="00145F6C"/>
    <w:rsid w:val="00150C18"/>
    <w:rsid w:val="00164807"/>
    <w:rsid w:val="001849C8"/>
    <w:rsid w:val="001E16CE"/>
    <w:rsid w:val="001E1C47"/>
    <w:rsid w:val="001E64DD"/>
    <w:rsid w:val="001F4EDA"/>
    <w:rsid w:val="00224D01"/>
    <w:rsid w:val="002459EF"/>
    <w:rsid w:val="00260896"/>
    <w:rsid w:val="0026405F"/>
    <w:rsid w:val="002825BC"/>
    <w:rsid w:val="002A6F6A"/>
    <w:rsid w:val="003502C3"/>
    <w:rsid w:val="00361E04"/>
    <w:rsid w:val="00366E35"/>
    <w:rsid w:val="00373359"/>
    <w:rsid w:val="00392B15"/>
    <w:rsid w:val="003B048A"/>
    <w:rsid w:val="003C0615"/>
    <w:rsid w:val="003D338C"/>
    <w:rsid w:val="003E12E5"/>
    <w:rsid w:val="003E2B68"/>
    <w:rsid w:val="003F4185"/>
    <w:rsid w:val="004145C9"/>
    <w:rsid w:val="00446EA9"/>
    <w:rsid w:val="00461A64"/>
    <w:rsid w:val="004631BA"/>
    <w:rsid w:val="00463DEE"/>
    <w:rsid w:val="00497A1C"/>
    <w:rsid w:val="004B457E"/>
    <w:rsid w:val="004D0752"/>
    <w:rsid w:val="00524FD1"/>
    <w:rsid w:val="00527A68"/>
    <w:rsid w:val="005503F1"/>
    <w:rsid w:val="005603C7"/>
    <w:rsid w:val="00563F9A"/>
    <w:rsid w:val="00596CE3"/>
    <w:rsid w:val="005B0503"/>
    <w:rsid w:val="005F14A1"/>
    <w:rsid w:val="00611C61"/>
    <w:rsid w:val="00633F10"/>
    <w:rsid w:val="00646710"/>
    <w:rsid w:val="00656E11"/>
    <w:rsid w:val="00657D8F"/>
    <w:rsid w:val="006B0457"/>
    <w:rsid w:val="00735C74"/>
    <w:rsid w:val="00747DFF"/>
    <w:rsid w:val="00747E9E"/>
    <w:rsid w:val="007545C2"/>
    <w:rsid w:val="00767875"/>
    <w:rsid w:val="007C5F5C"/>
    <w:rsid w:val="007F5DDD"/>
    <w:rsid w:val="00804F82"/>
    <w:rsid w:val="00806F03"/>
    <w:rsid w:val="00812B7B"/>
    <w:rsid w:val="00813C24"/>
    <w:rsid w:val="0082206E"/>
    <w:rsid w:val="00823E0E"/>
    <w:rsid w:val="008355FB"/>
    <w:rsid w:val="008411DD"/>
    <w:rsid w:val="008855A4"/>
    <w:rsid w:val="00890DAE"/>
    <w:rsid w:val="008B5D81"/>
    <w:rsid w:val="008C1A44"/>
    <w:rsid w:val="008C63A8"/>
    <w:rsid w:val="008F1CDE"/>
    <w:rsid w:val="008F2886"/>
    <w:rsid w:val="009216E4"/>
    <w:rsid w:val="009501F7"/>
    <w:rsid w:val="009A20A7"/>
    <w:rsid w:val="009A6D00"/>
    <w:rsid w:val="009C4106"/>
    <w:rsid w:val="009E44BA"/>
    <w:rsid w:val="00A04FF7"/>
    <w:rsid w:val="00A063B9"/>
    <w:rsid w:val="00A070D8"/>
    <w:rsid w:val="00A31971"/>
    <w:rsid w:val="00A35F1F"/>
    <w:rsid w:val="00A70BB9"/>
    <w:rsid w:val="00A83423"/>
    <w:rsid w:val="00AB3531"/>
    <w:rsid w:val="00AC04DF"/>
    <w:rsid w:val="00AC2326"/>
    <w:rsid w:val="00AD01FD"/>
    <w:rsid w:val="00AE72E9"/>
    <w:rsid w:val="00AF12FA"/>
    <w:rsid w:val="00B2348D"/>
    <w:rsid w:val="00B30593"/>
    <w:rsid w:val="00B33CDE"/>
    <w:rsid w:val="00B47F44"/>
    <w:rsid w:val="00B50963"/>
    <w:rsid w:val="00B60BCC"/>
    <w:rsid w:val="00B76024"/>
    <w:rsid w:val="00BA1263"/>
    <w:rsid w:val="00BA43E6"/>
    <w:rsid w:val="00BB60B6"/>
    <w:rsid w:val="00BD57F5"/>
    <w:rsid w:val="00BE119B"/>
    <w:rsid w:val="00C17D13"/>
    <w:rsid w:val="00C25AAF"/>
    <w:rsid w:val="00C437E4"/>
    <w:rsid w:val="00C6012F"/>
    <w:rsid w:val="00C65DA0"/>
    <w:rsid w:val="00C86AE2"/>
    <w:rsid w:val="00C929DC"/>
    <w:rsid w:val="00CA2ED2"/>
    <w:rsid w:val="00CB28DF"/>
    <w:rsid w:val="00CE3860"/>
    <w:rsid w:val="00CE66D2"/>
    <w:rsid w:val="00D06583"/>
    <w:rsid w:val="00D07BA2"/>
    <w:rsid w:val="00D15A76"/>
    <w:rsid w:val="00D41241"/>
    <w:rsid w:val="00D44ABD"/>
    <w:rsid w:val="00D7041A"/>
    <w:rsid w:val="00DC33E8"/>
    <w:rsid w:val="00DE3564"/>
    <w:rsid w:val="00E213EC"/>
    <w:rsid w:val="00E31889"/>
    <w:rsid w:val="00E37DDB"/>
    <w:rsid w:val="00E457DC"/>
    <w:rsid w:val="00E60934"/>
    <w:rsid w:val="00E853E4"/>
    <w:rsid w:val="00E87F01"/>
    <w:rsid w:val="00E91ADB"/>
    <w:rsid w:val="00EA080E"/>
    <w:rsid w:val="00EA63CA"/>
    <w:rsid w:val="00EE022F"/>
    <w:rsid w:val="00F14BC5"/>
    <w:rsid w:val="00F462D4"/>
    <w:rsid w:val="00F47D5D"/>
    <w:rsid w:val="00F6425E"/>
    <w:rsid w:val="00F802B7"/>
    <w:rsid w:val="00F87878"/>
    <w:rsid w:val="00F971C5"/>
    <w:rsid w:val="00FB3C18"/>
    <w:rsid w:val="00FE48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8F53B"/>
  <w15:docId w15:val="{ED1406AD-2A6A-4199-8862-3F3028627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2A6F6A"/>
    <w:pPr>
      <w:widowControl w:val="0"/>
      <w:spacing w:after="0" w:line="240" w:lineRule="auto"/>
    </w:pPr>
  </w:style>
  <w:style w:type="paragraph" w:styleId="Ttulo1">
    <w:name w:val="heading 1"/>
    <w:basedOn w:val="Normal"/>
    <w:next w:val="Normal"/>
    <w:link w:val="Ttulo1Char"/>
    <w:uiPriority w:val="1"/>
    <w:qFormat/>
    <w:rsid w:val="00131B13"/>
    <w:pPr>
      <w:keepNext/>
      <w:keepLines/>
      <w:spacing w:before="120" w:after="120"/>
      <w:outlineLvl w:val="0"/>
    </w:pPr>
    <w:rPr>
      <w:rFonts w:asciiTheme="majorHAnsi" w:eastAsiaTheme="majorEastAsia" w:hAnsiTheme="majorHAnsi" w:cstheme="majorBidi"/>
      <w:b/>
      <w:color w:val="0066B2"/>
      <w:sz w:val="32"/>
      <w:szCs w:val="32"/>
    </w:rPr>
  </w:style>
  <w:style w:type="paragraph" w:styleId="Ttulo2">
    <w:name w:val="heading 2"/>
    <w:basedOn w:val="Subttulo"/>
    <w:link w:val="Ttulo2Char"/>
    <w:uiPriority w:val="1"/>
    <w:qFormat/>
    <w:rsid w:val="00131B13"/>
    <w:pPr>
      <w:spacing w:before="100" w:beforeAutospacing="1" w:after="100" w:afterAutospacing="1"/>
      <w:ind w:left="686" w:hanging="686"/>
      <w:outlineLvl w:val="1"/>
    </w:pPr>
    <w:rPr>
      <w:rFonts w:ascii="Calibri Light" w:eastAsia="Franklin Gothic Medium" w:hAnsi="Calibri Light"/>
      <w:b/>
      <w:color w:val="0066B2"/>
      <w:spacing w:val="0"/>
      <w:sz w:val="28"/>
      <w:szCs w:val="36"/>
    </w:rPr>
  </w:style>
  <w:style w:type="paragraph" w:styleId="Ttulo3">
    <w:name w:val="heading 3"/>
    <w:basedOn w:val="Normal"/>
    <w:link w:val="Ttulo3Char"/>
    <w:uiPriority w:val="1"/>
    <w:qFormat/>
    <w:rsid w:val="002A6F6A"/>
    <w:pPr>
      <w:spacing w:before="100" w:beforeAutospacing="1" w:after="100" w:afterAutospacing="1"/>
      <w:outlineLvl w:val="2"/>
    </w:pPr>
    <w:rPr>
      <w:rFonts w:ascii="Calibri Light" w:eastAsia="Verdana" w:hAnsi="Calibri Light"/>
      <w:b/>
      <w:bCs/>
      <w:sz w:val="28"/>
      <w:szCs w:val="24"/>
    </w:rPr>
  </w:style>
  <w:style w:type="paragraph" w:styleId="Ttulo4">
    <w:name w:val="heading 4"/>
    <w:basedOn w:val="Normal"/>
    <w:next w:val="Normal"/>
    <w:link w:val="Ttulo4Char"/>
    <w:uiPriority w:val="9"/>
    <w:semiHidden/>
    <w:unhideWhenUsed/>
    <w:qFormat/>
    <w:rsid w:val="0016480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31B13"/>
    <w:rPr>
      <w:rFonts w:asciiTheme="majorHAnsi" w:eastAsiaTheme="majorEastAsia" w:hAnsiTheme="majorHAnsi" w:cstheme="majorBidi"/>
      <w:b/>
      <w:color w:val="0066B2"/>
      <w:sz w:val="32"/>
      <w:szCs w:val="32"/>
    </w:rPr>
  </w:style>
  <w:style w:type="character" w:customStyle="1" w:styleId="Ttulo2Char">
    <w:name w:val="Título 2 Char"/>
    <w:basedOn w:val="Fontepargpadro"/>
    <w:link w:val="Ttulo2"/>
    <w:uiPriority w:val="1"/>
    <w:rsid w:val="00131B13"/>
    <w:rPr>
      <w:rFonts w:ascii="Calibri Light" w:eastAsia="Franklin Gothic Medium" w:hAnsi="Calibri Light"/>
      <w:b/>
      <w:color w:val="0066B2"/>
      <w:sz w:val="28"/>
      <w:szCs w:val="36"/>
    </w:rPr>
  </w:style>
  <w:style w:type="character" w:customStyle="1" w:styleId="Ttulo3Char">
    <w:name w:val="Título 3 Char"/>
    <w:basedOn w:val="Fontepargpadro"/>
    <w:link w:val="Ttulo3"/>
    <w:uiPriority w:val="1"/>
    <w:rsid w:val="002A6F6A"/>
    <w:rPr>
      <w:rFonts w:ascii="Calibri Light" w:eastAsia="Verdana" w:hAnsi="Calibri Light"/>
      <w:b/>
      <w:bCs/>
      <w:sz w:val="28"/>
      <w:szCs w:val="24"/>
    </w:rPr>
  </w:style>
  <w:style w:type="paragraph" w:styleId="Corpodetexto">
    <w:name w:val="Body Text"/>
    <w:basedOn w:val="Normal"/>
    <w:link w:val="CorpodetextoChar"/>
    <w:uiPriority w:val="1"/>
    <w:qFormat/>
    <w:rsid w:val="002A6F6A"/>
    <w:pPr>
      <w:ind w:left="1010"/>
    </w:pPr>
    <w:rPr>
      <w:rFonts w:ascii="Verdana" w:eastAsia="Verdana" w:hAnsi="Verdana"/>
      <w:sz w:val="24"/>
      <w:szCs w:val="24"/>
    </w:rPr>
  </w:style>
  <w:style w:type="character" w:customStyle="1" w:styleId="CorpodetextoChar">
    <w:name w:val="Corpo de texto Char"/>
    <w:basedOn w:val="Fontepargpadro"/>
    <w:link w:val="Corpodetexto"/>
    <w:uiPriority w:val="1"/>
    <w:rsid w:val="002A6F6A"/>
    <w:rPr>
      <w:rFonts w:ascii="Verdana" w:eastAsia="Verdana" w:hAnsi="Verdana"/>
      <w:sz w:val="24"/>
      <w:szCs w:val="24"/>
    </w:rPr>
  </w:style>
  <w:style w:type="table" w:styleId="Tabelacomgrade">
    <w:name w:val="Table Grid"/>
    <w:basedOn w:val="Tabelanormal"/>
    <w:uiPriority w:val="39"/>
    <w:rsid w:val="002A6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6F6A"/>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2A6F6A"/>
  </w:style>
  <w:style w:type="character" w:styleId="Hyperlink">
    <w:name w:val="Hyperlink"/>
    <w:basedOn w:val="Fontepargpadro"/>
    <w:uiPriority w:val="99"/>
    <w:unhideWhenUsed/>
    <w:rsid w:val="002A6F6A"/>
    <w:rPr>
      <w:color w:val="0563C1" w:themeColor="hyperlink"/>
      <w:u w:val="single"/>
    </w:rPr>
  </w:style>
  <w:style w:type="paragraph" w:styleId="PargrafodaLista">
    <w:name w:val="List Paragraph"/>
    <w:basedOn w:val="Normal"/>
    <w:link w:val="PargrafodaListaChar"/>
    <w:uiPriority w:val="34"/>
    <w:qFormat/>
    <w:rsid w:val="002A6F6A"/>
  </w:style>
  <w:style w:type="paragraph" w:styleId="Textodecomentrio">
    <w:name w:val="annotation text"/>
    <w:basedOn w:val="Normal"/>
    <w:link w:val="TextodecomentrioChar"/>
    <w:uiPriority w:val="99"/>
    <w:unhideWhenUsed/>
    <w:rsid w:val="002A6F6A"/>
    <w:rPr>
      <w:sz w:val="20"/>
      <w:szCs w:val="20"/>
    </w:rPr>
  </w:style>
  <w:style w:type="character" w:customStyle="1" w:styleId="TextodecomentrioChar">
    <w:name w:val="Texto de comentário Char"/>
    <w:basedOn w:val="Fontepargpadro"/>
    <w:link w:val="Textodecomentrio"/>
    <w:uiPriority w:val="99"/>
    <w:rsid w:val="002A6F6A"/>
    <w:rPr>
      <w:sz w:val="20"/>
      <w:szCs w:val="20"/>
    </w:rPr>
  </w:style>
  <w:style w:type="character" w:customStyle="1" w:styleId="PargrafodaListaChar">
    <w:name w:val="Parágrafo da Lista Char"/>
    <w:basedOn w:val="Fontepargpadro"/>
    <w:link w:val="PargrafodaLista"/>
    <w:uiPriority w:val="34"/>
    <w:rsid w:val="002A6F6A"/>
  </w:style>
  <w:style w:type="character" w:styleId="Refdecomentrio">
    <w:name w:val="annotation reference"/>
    <w:basedOn w:val="Fontepargpadro"/>
    <w:uiPriority w:val="99"/>
    <w:semiHidden/>
    <w:unhideWhenUsed/>
    <w:rsid w:val="002A6F6A"/>
    <w:rPr>
      <w:sz w:val="16"/>
      <w:szCs w:val="16"/>
    </w:rPr>
  </w:style>
  <w:style w:type="paragraph" w:styleId="Rodap">
    <w:name w:val="footer"/>
    <w:basedOn w:val="Normal"/>
    <w:link w:val="RodapChar"/>
    <w:uiPriority w:val="99"/>
    <w:unhideWhenUsed/>
    <w:rsid w:val="002A6F6A"/>
    <w:pPr>
      <w:tabs>
        <w:tab w:val="center" w:pos="4252"/>
        <w:tab w:val="right" w:pos="8504"/>
      </w:tabs>
    </w:pPr>
  </w:style>
  <w:style w:type="character" w:customStyle="1" w:styleId="RodapChar">
    <w:name w:val="Rodapé Char"/>
    <w:basedOn w:val="Fontepargpadro"/>
    <w:link w:val="Rodap"/>
    <w:uiPriority w:val="99"/>
    <w:rsid w:val="002A6F6A"/>
  </w:style>
  <w:style w:type="paragraph" w:styleId="Subttulo">
    <w:name w:val="Subtitle"/>
    <w:basedOn w:val="Normal"/>
    <w:next w:val="Normal"/>
    <w:link w:val="SubttuloChar"/>
    <w:uiPriority w:val="11"/>
    <w:qFormat/>
    <w:rsid w:val="002A6F6A"/>
    <w:pPr>
      <w:numPr>
        <w:ilvl w:val="1"/>
      </w:numPr>
      <w:spacing w:after="160"/>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2A6F6A"/>
    <w:rPr>
      <w:rFonts w:eastAsiaTheme="minorEastAsia"/>
      <w:color w:val="5A5A5A" w:themeColor="text1" w:themeTint="A5"/>
      <w:spacing w:val="15"/>
    </w:rPr>
  </w:style>
  <w:style w:type="paragraph" w:styleId="Textodebalo">
    <w:name w:val="Balloon Text"/>
    <w:basedOn w:val="Normal"/>
    <w:link w:val="TextodebaloChar"/>
    <w:uiPriority w:val="99"/>
    <w:semiHidden/>
    <w:unhideWhenUsed/>
    <w:rsid w:val="002A6F6A"/>
    <w:rPr>
      <w:rFonts w:ascii="Segoe UI" w:hAnsi="Segoe UI" w:cs="Segoe UI"/>
      <w:sz w:val="18"/>
      <w:szCs w:val="18"/>
    </w:rPr>
  </w:style>
  <w:style w:type="character" w:customStyle="1" w:styleId="TextodebaloChar">
    <w:name w:val="Texto de balão Char"/>
    <w:basedOn w:val="Fontepargpadro"/>
    <w:link w:val="Textodebalo"/>
    <w:uiPriority w:val="99"/>
    <w:semiHidden/>
    <w:rsid w:val="002A6F6A"/>
    <w:rPr>
      <w:rFonts w:ascii="Segoe UI" w:hAnsi="Segoe UI" w:cs="Segoe UI"/>
      <w:sz w:val="18"/>
      <w:szCs w:val="18"/>
    </w:rPr>
  </w:style>
  <w:style w:type="paragraph" w:styleId="SemEspaamento">
    <w:name w:val="No Spacing"/>
    <w:uiPriority w:val="1"/>
    <w:qFormat/>
    <w:rsid w:val="005B0503"/>
    <w:pPr>
      <w:widowControl w:val="0"/>
      <w:spacing w:after="0" w:line="240" w:lineRule="auto"/>
    </w:pPr>
    <w:rPr>
      <w:rFonts w:ascii="Calibri Light" w:hAnsi="Calibri Light"/>
      <w:b/>
      <w:color w:val="C00000"/>
      <w:sz w:val="32"/>
      <w:lang w:val="en-US"/>
    </w:rPr>
  </w:style>
  <w:style w:type="paragraph" w:styleId="Sumrio2">
    <w:name w:val="toc 2"/>
    <w:basedOn w:val="Normal"/>
    <w:uiPriority w:val="39"/>
    <w:qFormat/>
    <w:rsid w:val="00131B13"/>
    <w:pPr>
      <w:ind w:left="397"/>
    </w:pPr>
    <w:rPr>
      <w:rFonts w:cstheme="minorHAnsi"/>
      <w:smallCaps/>
      <w:sz w:val="20"/>
      <w:szCs w:val="20"/>
    </w:rPr>
  </w:style>
  <w:style w:type="paragraph" w:styleId="CabealhodoSumrio">
    <w:name w:val="TOC Heading"/>
    <w:basedOn w:val="Ttulo1"/>
    <w:next w:val="Normal"/>
    <w:uiPriority w:val="39"/>
    <w:unhideWhenUsed/>
    <w:qFormat/>
    <w:rsid w:val="005B0503"/>
    <w:pPr>
      <w:widowControl/>
      <w:spacing w:line="259" w:lineRule="auto"/>
      <w:outlineLvl w:val="9"/>
    </w:pPr>
    <w:rPr>
      <w:lang w:eastAsia="pt-BR"/>
    </w:rPr>
  </w:style>
  <w:style w:type="paragraph" w:styleId="Sumrio1">
    <w:name w:val="toc 1"/>
    <w:basedOn w:val="Normal"/>
    <w:next w:val="Normal"/>
    <w:autoRedefine/>
    <w:uiPriority w:val="39"/>
    <w:unhideWhenUsed/>
    <w:qFormat/>
    <w:rsid w:val="00131B13"/>
    <w:pPr>
      <w:spacing w:after="100"/>
      <w:outlineLvl w:val="0"/>
    </w:pPr>
    <w:rPr>
      <w:caps/>
    </w:rPr>
  </w:style>
  <w:style w:type="paragraph" w:styleId="Sumrio3">
    <w:name w:val="toc 3"/>
    <w:basedOn w:val="Normal"/>
    <w:next w:val="Normal"/>
    <w:autoRedefine/>
    <w:uiPriority w:val="39"/>
    <w:unhideWhenUsed/>
    <w:rsid w:val="005B0503"/>
    <w:pPr>
      <w:spacing w:after="100"/>
      <w:ind w:left="440"/>
    </w:pPr>
  </w:style>
  <w:style w:type="paragraph" w:styleId="Cabealho">
    <w:name w:val="header"/>
    <w:basedOn w:val="Normal"/>
    <w:link w:val="CabealhoChar"/>
    <w:uiPriority w:val="99"/>
    <w:unhideWhenUsed/>
    <w:rsid w:val="00527A68"/>
    <w:pPr>
      <w:tabs>
        <w:tab w:val="center" w:pos="4252"/>
        <w:tab w:val="right" w:pos="8504"/>
      </w:tabs>
    </w:pPr>
  </w:style>
  <w:style w:type="character" w:customStyle="1" w:styleId="CabealhoChar">
    <w:name w:val="Cabeçalho Char"/>
    <w:basedOn w:val="Fontepargpadro"/>
    <w:link w:val="Cabealho"/>
    <w:uiPriority w:val="99"/>
    <w:rsid w:val="00527A68"/>
  </w:style>
  <w:style w:type="table" w:customStyle="1" w:styleId="TableNormal">
    <w:name w:val="Table Normal"/>
    <w:uiPriority w:val="2"/>
    <w:semiHidden/>
    <w:unhideWhenUsed/>
    <w:qFormat/>
    <w:rsid w:val="00611C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1C61"/>
    <w:pPr>
      <w:autoSpaceDE w:val="0"/>
      <w:autoSpaceDN w:val="0"/>
      <w:spacing w:before="17"/>
      <w:ind w:left="76" w:right="56"/>
      <w:jc w:val="center"/>
    </w:pPr>
    <w:rPr>
      <w:rFonts w:ascii="Arial" w:eastAsia="Arial" w:hAnsi="Arial" w:cs="Arial"/>
      <w:lang w:val="en-US"/>
    </w:rPr>
  </w:style>
  <w:style w:type="paragraph" w:styleId="Assuntodocomentrio">
    <w:name w:val="annotation subject"/>
    <w:basedOn w:val="Textodecomentrio"/>
    <w:next w:val="Textodecomentrio"/>
    <w:link w:val="AssuntodocomentrioChar"/>
    <w:uiPriority w:val="99"/>
    <w:semiHidden/>
    <w:unhideWhenUsed/>
    <w:rsid w:val="00767875"/>
    <w:rPr>
      <w:b/>
      <w:bCs/>
    </w:rPr>
  </w:style>
  <w:style w:type="character" w:customStyle="1" w:styleId="AssuntodocomentrioChar">
    <w:name w:val="Assunto do comentário Char"/>
    <w:basedOn w:val="TextodecomentrioChar"/>
    <w:link w:val="Assuntodocomentrio"/>
    <w:uiPriority w:val="99"/>
    <w:semiHidden/>
    <w:rsid w:val="00767875"/>
    <w:rPr>
      <w:b/>
      <w:bCs/>
      <w:sz w:val="20"/>
      <w:szCs w:val="20"/>
    </w:rPr>
  </w:style>
  <w:style w:type="character" w:styleId="nfase">
    <w:name w:val="Emphasis"/>
    <w:basedOn w:val="Fontepargpadro"/>
    <w:uiPriority w:val="20"/>
    <w:qFormat/>
    <w:rsid w:val="003F4185"/>
    <w:rPr>
      <w:i/>
      <w:iCs/>
    </w:rPr>
  </w:style>
  <w:style w:type="character" w:styleId="HiperlinkVisitado">
    <w:name w:val="FollowedHyperlink"/>
    <w:basedOn w:val="Fontepargpadro"/>
    <w:uiPriority w:val="99"/>
    <w:semiHidden/>
    <w:unhideWhenUsed/>
    <w:rsid w:val="00823E0E"/>
    <w:rPr>
      <w:color w:val="954F72" w:themeColor="followedHyperlink"/>
      <w:u w:val="single"/>
    </w:rPr>
  </w:style>
  <w:style w:type="character" w:customStyle="1" w:styleId="Ttulo4Char">
    <w:name w:val="Título 4 Char"/>
    <w:basedOn w:val="Fontepargpadro"/>
    <w:link w:val="Ttulo4"/>
    <w:uiPriority w:val="9"/>
    <w:semiHidden/>
    <w:rsid w:val="0016480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93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bnt.org.br/normalizacao/livelink"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abnt.org.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www.inmetro.gov.br/"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iaf.nu/upFiles/IAF_B2_12012_portuguese.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www.oiml.org/en" TargetMode="External"/><Relationship Id="rId30" Type="http://schemas.openxmlformats.org/officeDocument/2006/relationships/hyperlink" Target="http://www.inmetro.gov.br/" TargetMode="Externa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BC719-2F16-44D5-8DD1-0687B503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11942</TotalTime>
  <Pages>22</Pages>
  <Words>5716</Words>
  <Characters>30869</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dc:creator>
  <cp:keywords/>
  <dc:description/>
  <cp:lastModifiedBy>Aline Marques Rodrigues</cp:lastModifiedBy>
  <cp:revision>28</cp:revision>
  <cp:lastPrinted>2019-11-30T13:54:00Z</cp:lastPrinted>
  <dcterms:created xsi:type="dcterms:W3CDTF">2018-09-20T20:29:00Z</dcterms:created>
  <dcterms:modified xsi:type="dcterms:W3CDTF">2019-11-30T13:55:00Z</dcterms:modified>
</cp:coreProperties>
</file>