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numPr>
          <w:ilvl w:val="0"/>
          <w:numId w:val="1"/>
        </w:numPr>
        <w:spacing w:before="0" w:after="160" w:line="259"/>
        <w:ind w:right="0" w:left="284" w:hanging="284"/>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Você sabia que calibração não é ajuste?</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rPr>
          <w:rFonts w:ascii="Calibri Light" w:hAnsi="Calibri Light" w:cs="Calibri Light" w:eastAsia="Calibri Light"/>
          <w:color w:val="auto"/>
          <w:spacing w:val="0"/>
          <w:position w:val="0"/>
          <w:sz w:val="22"/>
          <w:shd w:fill="auto" w:val="clear"/>
        </w:rPr>
        <w:t xml:space="preserve">Quando calibramos um equipamento não significa que ele passará a “medir correto” após a calibração. O que podemos afirmar é que seus erros e a sua incerteza serão conhecidos, pois a calibração é realizada por meio de um processo que compara os valores medidos pelo equipamento, com valores de um padrão.</w:t>
      </w:r>
    </w:p>
    <w:p>
      <w:pPr>
        <w:spacing w:before="0" w:after="160" w:line="259"/>
        <w:ind w:right="0" w:left="0" w:firstLine="0"/>
        <w:jc w:val="both"/>
        <w:rPr>
          <w:rFonts w:ascii="Calibri Light" w:hAnsi="Calibri Light" w:cs="Calibri Light" w:eastAsia="Calibri Light"/>
          <w:b/>
          <w:color w:val="0066B2"/>
          <w:spacing w:val="0"/>
          <w:position w:val="0"/>
          <w:sz w:val="22"/>
          <w:shd w:fill="auto" w:val="clear"/>
        </w:rPr>
      </w:pPr>
      <w:r>
        <w:rPr>
          <w:rFonts w:ascii="Calibri Light" w:hAnsi="Calibri Light" w:cs="Calibri Light" w:eastAsia="Calibri Light"/>
          <w:b/>
          <w:color w:val="0066B2"/>
          <w:spacing w:val="0"/>
          <w:position w:val="0"/>
          <w:sz w:val="22"/>
          <w:shd w:fill="auto" w:val="clear"/>
        </w:rPr>
        <w:t xml:space="preserve">Imagem de referência:</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hyperlink xmlns:r="http://schemas.openxmlformats.org/officeDocument/2006/relationships" r:id="docRId0">
        <w:r>
          <w:rPr>
            <w:rFonts w:ascii="Calibri Light" w:hAnsi="Calibri Light" w:cs="Calibri Light" w:eastAsia="Calibri Light"/>
            <w:color w:val="FF0000"/>
            <w:spacing w:val="0"/>
            <w:position w:val="0"/>
            <w:sz w:val="22"/>
            <w:u w:val="single"/>
            <w:shd w:fill="auto" w:val="clear"/>
          </w:rPr>
          <w:t xml:space="preserve">https://i1.wp.com/sensorweb.com.br/wp-content/uploads/2019/11/Header_dez_2019_calibracao.png?fit=845%2C684</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&amp;</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ssl=1"</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&amp;</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&amp;</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ssl=1"</w:t>
        </w:r>
        <w:r>
          <w:rPr>
            <w:rFonts w:ascii="Calibri Light" w:hAnsi="Calibri Light" w:cs="Calibri Light" w:eastAsia="Calibri Light"/>
            <w:color w:val="FF0000"/>
            <w:spacing w:val="0"/>
            <w:position w:val="0"/>
            <w:sz w:val="22"/>
            <w:u w:val="single"/>
            <w:shd w:fill="auto" w:val="clear"/>
          </w:rPr>
          <w:t xml:space="preserve"> HYPERLINK "https://i1.wp.com/sensorweb.com.br/wp-content/uploads/2019/11/Header_dez_2019_calibracao.png?fit=845%2C684&amp;ssl=1"</w:t>
        </w:r>
        <w:r>
          <w:rPr>
            <w:rFonts w:ascii="Calibri Light" w:hAnsi="Calibri Light" w:cs="Calibri Light" w:eastAsia="Calibri Light"/>
            <w:color w:val="FF0000"/>
            <w:spacing w:val="0"/>
            <w:position w:val="0"/>
            <w:sz w:val="22"/>
            <w:u w:val="single"/>
            <w:shd w:fill="auto" w:val="clear"/>
          </w:rPr>
          <w:t xml:space="preserve">ssl=1</w:t>
        </w:r>
      </w:hyperlink>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object w:dxaOrig="4616" w:dyaOrig="3138">
          <v:rect xmlns:o="urn:schemas-microsoft-com:office:office" xmlns:v="urn:schemas-microsoft-com:vml" id="rectole0000000000" style="width:230.800000pt;height:156.9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numPr>
          <w:ilvl w:val="0"/>
          <w:numId w:val="3"/>
        </w:numPr>
        <w:spacing w:before="0" w:after="160" w:line="259"/>
        <w:ind w:right="0" w:left="284" w:hanging="284"/>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Você sabe a diferença entre precisão e exatidão?</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rPr>
          <w:rFonts w:ascii="Calibri Light" w:hAnsi="Calibri Light" w:cs="Calibri Light" w:eastAsia="Calibri Light"/>
          <w:color w:val="auto"/>
          <w:spacing w:val="0"/>
          <w:position w:val="0"/>
          <w:sz w:val="22"/>
          <w:shd w:fill="auto" w:val="clear"/>
        </w:rPr>
        <w:t xml:space="preserve">Exatidão = Próximo ao valor verdadeiro. Precisão = Resultados repetitivos, ou seja, próximos um ao outro. </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rPr>
          <w:rFonts w:ascii="Calibri Light" w:hAnsi="Calibri Light" w:cs="Calibri Light" w:eastAsia="Calibri Light"/>
          <w:color w:val="auto"/>
          <w:spacing w:val="0"/>
          <w:position w:val="0"/>
          <w:sz w:val="22"/>
          <w:shd w:fill="auto" w:val="clear"/>
        </w:rPr>
        <w:t xml:space="preserve">Um dos conceitos está ligado a proximidade do valor verdadeiro e o outro a sua capacidade de repetibilidade.</w:t>
      </w:r>
    </w:p>
    <w:p>
      <w:pPr>
        <w:spacing w:before="0" w:after="160" w:line="259"/>
        <w:ind w:right="0" w:left="0" w:firstLine="0"/>
        <w:jc w:val="both"/>
        <w:rPr>
          <w:rFonts w:ascii="Calibri Light" w:hAnsi="Calibri Light" w:cs="Calibri Light" w:eastAsia="Calibri Light"/>
          <w:b/>
          <w:color w:val="0066B2"/>
          <w:spacing w:val="0"/>
          <w:position w:val="0"/>
          <w:sz w:val="22"/>
          <w:shd w:fill="auto" w:val="clear"/>
        </w:rPr>
      </w:pPr>
      <w:r>
        <w:rPr>
          <w:rFonts w:ascii="Calibri Light" w:hAnsi="Calibri Light" w:cs="Calibri Light" w:eastAsia="Calibri Light"/>
          <w:b/>
          <w:color w:val="0066B2"/>
          <w:spacing w:val="0"/>
          <w:position w:val="0"/>
          <w:sz w:val="22"/>
          <w:shd w:fill="auto" w:val="clear"/>
        </w:rPr>
        <w:t xml:space="preserve">Imagens para postagem:</w:t>
      </w:r>
    </w:p>
    <w:p>
      <w:pPr>
        <w:spacing w:before="0" w:after="160" w:line="259"/>
        <w:ind w:right="0" w:left="0" w:firstLine="0"/>
        <w:jc w:val="both"/>
        <w:rPr>
          <w:rFonts w:ascii="Roboto" w:hAnsi="Roboto" w:cs="Roboto" w:eastAsia="Roboto"/>
          <w:b/>
          <w:color w:val="0066B2"/>
          <w:spacing w:val="0"/>
          <w:position w:val="0"/>
          <w:sz w:val="20"/>
          <w:shd w:fill="FFFFFF" w:val="clear"/>
        </w:rPr>
      </w:pPr>
      <w:r>
        <w:object w:dxaOrig="911" w:dyaOrig="971">
          <v:rect xmlns:o="urn:schemas-microsoft-com:office:office" xmlns:v="urn:schemas-microsoft-com:vml" id="rectole0000000001" style="width:45.550000pt;height:48.5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160" w:line="259"/>
        <w:ind w:right="0" w:left="0" w:firstLine="0"/>
        <w:jc w:val="both"/>
        <w:rPr>
          <w:rFonts w:ascii="Roboto" w:hAnsi="Roboto" w:cs="Roboto" w:eastAsia="Roboto"/>
          <w:b/>
          <w:color w:val="0066B2"/>
          <w:spacing w:val="0"/>
          <w:position w:val="0"/>
          <w:sz w:val="20"/>
          <w:shd w:fill="FFFFFF" w:val="clear"/>
        </w:rPr>
      </w:pPr>
      <w:r>
        <w:rPr>
          <w:rFonts w:ascii="Roboto" w:hAnsi="Roboto" w:cs="Roboto" w:eastAsia="Roboto"/>
          <w:b/>
          <w:color w:val="0066B2"/>
          <w:spacing w:val="0"/>
          <w:position w:val="0"/>
          <w:sz w:val="20"/>
          <w:shd w:fill="FFFFFF" w:val="clear"/>
        </w:rPr>
        <w:t xml:space="preserve"> EXATO: </w:t>
      </w:r>
      <w:hyperlink xmlns:r="http://schemas.openxmlformats.org/officeDocument/2006/relationships" r:id="docRId5">
        <w:r>
          <w:rPr>
            <w:rFonts w:ascii="Roboto" w:hAnsi="Roboto" w:cs="Roboto" w:eastAsia="Roboto"/>
            <w:b/>
            <w:color w:val="0000FF"/>
            <w:spacing w:val="0"/>
            <w:position w:val="0"/>
            <w:sz w:val="20"/>
            <w:u w:val="single"/>
            <w:shd w:fill="FFFFFF" w:val="clear"/>
          </w:rPr>
          <w:t xml:space="preserve">https://entib.org.br/entib/imagens/PS_VME_A03_1_alvos_C.png</w:t>
        </w:r>
      </w:hyperlink>
    </w:p>
    <w:p>
      <w:pPr>
        <w:spacing w:before="0" w:after="160" w:line="259"/>
        <w:ind w:right="0" w:left="0" w:firstLine="0"/>
        <w:jc w:val="both"/>
        <w:rPr>
          <w:rFonts w:ascii="Roboto" w:hAnsi="Roboto" w:cs="Roboto" w:eastAsia="Roboto"/>
          <w:b/>
          <w:color w:val="0066B2"/>
          <w:spacing w:val="0"/>
          <w:position w:val="0"/>
          <w:sz w:val="20"/>
          <w:shd w:fill="FFFFFF" w:val="clear"/>
        </w:rPr>
      </w:pPr>
      <w:r>
        <w:object w:dxaOrig="810" w:dyaOrig="829">
          <v:rect xmlns:o="urn:schemas-microsoft-com:office:office" xmlns:v="urn:schemas-microsoft-com:vml" id="rectole0000000002" style="width:40.500000pt;height:41.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160" w:line="259"/>
        <w:ind w:right="0" w:left="0" w:firstLine="0"/>
        <w:jc w:val="both"/>
        <w:rPr>
          <w:rFonts w:ascii="Roboto" w:hAnsi="Roboto" w:cs="Roboto" w:eastAsia="Roboto"/>
          <w:b/>
          <w:color w:val="0066B2"/>
          <w:spacing w:val="0"/>
          <w:position w:val="0"/>
          <w:sz w:val="20"/>
          <w:shd w:fill="FFFFFF" w:val="clear"/>
        </w:rPr>
      </w:pPr>
      <w:r>
        <w:rPr>
          <w:rFonts w:ascii="Roboto" w:hAnsi="Roboto" w:cs="Roboto" w:eastAsia="Roboto"/>
          <w:b/>
          <w:color w:val="0066B2"/>
          <w:spacing w:val="0"/>
          <w:position w:val="0"/>
          <w:sz w:val="20"/>
          <w:shd w:fill="FFFFFF" w:val="clear"/>
        </w:rPr>
        <w:t xml:space="preserve"> </w:t>
      </w:r>
    </w:p>
    <w:p>
      <w:pPr>
        <w:spacing w:before="0" w:after="160" w:line="259"/>
        <w:ind w:right="0" w:left="0" w:firstLine="0"/>
        <w:jc w:val="both"/>
        <w:rPr>
          <w:rFonts w:ascii="Roboto" w:hAnsi="Roboto" w:cs="Roboto" w:eastAsia="Roboto"/>
          <w:b/>
          <w:color w:val="0066B2"/>
          <w:spacing w:val="0"/>
          <w:position w:val="0"/>
          <w:sz w:val="20"/>
          <w:shd w:fill="FFFFFF" w:val="clear"/>
        </w:rPr>
      </w:pPr>
      <w:r>
        <w:rPr>
          <w:rFonts w:ascii="Roboto" w:hAnsi="Roboto" w:cs="Roboto" w:eastAsia="Roboto"/>
          <w:b/>
          <w:color w:val="0066B2"/>
          <w:spacing w:val="0"/>
          <w:position w:val="0"/>
          <w:sz w:val="20"/>
          <w:shd w:fill="FFFFFF" w:val="clear"/>
        </w:rPr>
        <w:t xml:space="preserve">PRECISO: </w:t>
      </w:r>
      <w:hyperlink xmlns:r="http://schemas.openxmlformats.org/officeDocument/2006/relationships" r:id="docRId8">
        <w:r>
          <w:rPr>
            <w:rFonts w:ascii="Roboto" w:hAnsi="Roboto" w:cs="Roboto" w:eastAsia="Roboto"/>
            <w:b/>
            <w:color w:val="0000FF"/>
            <w:spacing w:val="0"/>
            <w:position w:val="0"/>
            <w:sz w:val="20"/>
            <w:u w:val="single"/>
            <w:shd w:fill="FFFFFF" w:val="clear"/>
          </w:rPr>
          <w:t xml:space="preserve">https://entib.org.br/entib/imagens/PS_VME_A03_1_alvos_B.png</w:t>
        </w:r>
      </w:hyperlink>
    </w:p>
    <w:p>
      <w:pPr>
        <w:spacing w:before="0" w:after="160" w:line="259"/>
        <w:ind w:right="0" w:left="0" w:firstLine="0"/>
        <w:jc w:val="both"/>
        <w:rPr>
          <w:rFonts w:ascii="Roboto" w:hAnsi="Roboto" w:cs="Roboto" w:eastAsia="Roboto"/>
          <w:b/>
          <w:color w:val="0066B2"/>
          <w:spacing w:val="0"/>
          <w:position w:val="0"/>
          <w:sz w:val="20"/>
          <w:shd w:fill="FFFFFF" w:val="clear"/>
        </w:rPr>
      </w:pPr>
      <w:r>
        <w:object w:dxaOrig="769" w:dyaOrig="769">
          <v:rect xmlns:o="urn:schemas-microsoft-com:office:office" xmlns:v="urn:schemas-microsoft-com:vml" id="rectole0000000003" style="width:38.450000pt;height:38.4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p>
    <w:p>
      <w:pPr>
        <w:spacing w:before="0" w:after="160" w:line="259"/>
        <w:ind w:right="0" w:left="0" w:firstLine="0"/>
        <w:jc w:val="both"/>
        <w:rPr>
          <w:rFonts w:ascii="Roboto" w:hAnsi="Roboto" w:cs="Roboto" w:eastAsia="Roboto"/>
          <w:b/>
          <w:color w:val="0066B2"/>
          <w:spacing w:val="0"/>
          <w:position w:val="0"/>
          <w:sz w:val="20"/>
          <w:shd w:fill="FFFFFF" w:val="clear"/>
        </w:rPr>
      </w:pPr>
      <w:r>
        <w:rPr>
          <w:rFonts w:ascii="Roboto" w:hAnsi="Roboto" w:cs="Roboto" w:eastAsia="Roboto"/>
          <w:b/>
          <w:color w:val="0066B2"/>
          <w:spacing w:val="0"/>
          <w:position w:val="0"/>
          <w:sz w:val="20"/>
          <w:shd w:fill="FFFFFF" w:val="clear"/>
        </w:rPr>
        <w:t xml:space="preserve"> </w:t>
      </w:r>
    </w:p>
    <w:p>
      <w:pPr>
        <w:spacing w:before="0" w:after="160" w:line="259"/>
        <w:ind w:right="0" w:left="0" w:firstLine="0"/>
        <w:jc w:val="both"/>
        <w:rPr>
          <w:rFonts w:ascii="Roboto" w:hAnsi="Roboto" w:cs="Roboto" w:eastAsia="Roboto"/>
          <w:b/>
          <w:color w:val="0066B2"/>
          <w:spacing w:val="0"/>
          <w:position w:val="0"/>
          <w:sz w:val="20"/>
          <w:shd w:fill="FFFFFF" w:val="clear"/>
        </w:rPr>
      </w:pPr>
      <w:r>
        <w:rPr>
          <w:rFonts w:ascii="Roboto" w:hAnsi="Roboto" w:cs="Roboto" w:eastAsia="Roboto"/>
          <w:b/>
          <w:color w:val="0066B2"/>
          <w:spacing w:val="0"/>
          <w:position w:val="0"/>
          <w:sz w:val="20"/>
          <w:shd w:fill="FFFFFF" w:val="clear"/>
        </w:rPr>
        <w:t xml:space="preserve">EXATO e PRECISO: </w:t>
      </w:r>
      <w:hyperlink xmlns:r="http://schemas.openxmlformats.org/officeDocument/2006/relationships" r:id="docRId11">
        <w:r>
          <w:rPr>
            <w:rFonts w:ascii="Roboto" w:hAnsi="Roboto" w:cs="Roboto" w:eastAsia="Roboto"/>
            <w:b/>
            <w:color w:val="0000FF"/>
            <w:spacing w:val="0"/>
            <w:position w:val="0"/>
            <w:sz w:val="20"/>
            <w:u w:val="single"/>
            <w:shd w:fill="FFFFFF" w:val="clear"/>
          </w:rPr>
          <w:t xml:space="preserve">https://entib.org.br/entib/imagens/PS_VME_A03_1_alvos_D.png</w:t>
        </w:r>
      </w:hyperlink>
    </w:p>
    <w:p>
      <w:pPr>
        <w:spacing w:before="0" w:after="160" w:line="259"/>
        <w:ind w:right="0" w:left="0" w:firstLine="0"/>
        <w:jc w:val="both"/>
        <w:rPr>
          <w:rFonts w:ascii="Roboto" w:hAnsi="Roboto" w:cs="Roboto" w:eastAsia="Roboto"/>
          <w:b/>
          <w:color w:val="0066B2"/>
          <w:spacing w:val="0"/>
          <w:position w:val="0"/>
          <w:sz w:val="20"/>
          <w:shd w:fill="FFFFFF"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numPr>
          <w:ilvl w:val="0"/>
          <w:numId w:val="5"/>
        </w:numPr>
        <w:spacing w:before="0" w:after="160" w:line="259"/>
        <w:ind w:right="0" w:left="284" w:hanging="284"/>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Rastreabilidade metrológica? O que é isso?</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Seria impossível utilizar o mesmo padrão para calibrar todos os instrumentos do mundo. Então, com base nos padrões internacionais que são baseados nas Unidades do SI, são criados os padrões nacionais de referência, que possuem uma incerteza maior do que os dois anteriores e, por último existe o padrão de trabalho, o que possui a maior incerteza entre os padrões. </w:t>
      </w:r>
    </w:p>
    <w:p>
      <w:pPr>
        <w:spacing w:before="0" w:after="160" w:line="259"/>
        <w:ind w:right="0" w:left="0" w:firstLine="0"/>
        <w:jc w:val="center"/>
        <w:rPr>
          <w:rFonts w:ascii="Calibri Light" w:hAnsi="Calibri Light" w:cs="Calibri Light" w:eastAsia="Calibri Light"/>
          <w:color w:val="auto"/>
          <w:spacing w:val="0"/>
          <w:position w:val="0"/>
          <w:sz w:val="22"/>
          <w:shd w:fill="00FF00" w:val="clear"/>
        </w:rPr>
      </w:pPr>
      <w:r>
        <w:object w:dxaOrig="5892" w:dyaOrig="3016">
          <v:rect xmlns:o="urn:schemas-microsoft-com:office:office" xmlns:v="urn:schemas-microsoft-com:vml" id="rectole0000000004" style="width:294.600000pt;height:150.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p>
    <w:p>
      <w:pPr>
        <w:spacing w:before="0" w:after="160" w:line="259"/>
        <w:ind w:right="0" w:left="0" w:firstLine="0"/>
        <w:jc w:val="center"/>
        <w:rPr>
          <w:rFonts w:ascii="Calibri Light" w:hAnsi="Calibri Light" w:cs="Calibri Light" w:eastAsia="Calibri Light"/>
          <w:color w:val="auto"/>
          <w:spacing w:val="0"/>
          <w:position w:val="0"/>
          <w:sz w:val="22"/>
          <w:shd w:fill="00FF00" w:val="clear"/>
        </w:rPr>
      </w:pPr>
      <w:hyperlink xmlns:r="http://schemas.openxmlformats.org/officeDocument/2006/relationships" r:id="docRId14">
        <w:r>
          <w:rPr>
            <w:rFonts w:ascii="Calibri Light" w:hAnsi="Calibri Light" w:cs="Calibri Light" w:eastAsia="Calibri Light"/>
            <w:color w:val="0000FF"/>
            <w:spacing w:val="0"/>
            <w:position w:val="0"/>
            <w:sz w:val="22"/>
            <w:u w:val="single"/>
            <w:shd w:fill="00FF00" w:val="clear"/>
          </w:rPr>
          <w:t xml:space="preserve">https://entib.org.br/ead/pluginfile.php/2820/mod_book/chapter/52/Piramide_rastreabilidade.jpg</w:t>
        </w:r>
      </w:hyperlink>
    </w:p>
    <w:p>
      <w:pPr>
        <w:spacing w:before="0" w:after="160" w:line="259"/>
        <w:ind w:right="0" w:left="0" w:firstLine="0"/>
        <w:jc w:val="center"/>
        <w:rPr>
          <w:rFonts w:ascii="Calibri Light" w:hAnsi="Calibri Light" w:cs="Calibri Light" w:eastAsia="Calibri Light"/>
          <w:color w:val="auto"/>
          <w:spacing w:val="0"/>
          <w:position w:val="0"/>
          <w:sz w:val="22"/>
          <w:shd w:fill="00FF00" w:val="clear"/>
        </w:rPr>
      </w:pPr>
    </w:p>
    <w:p>
      <w:pPr>
        <w:numPr>
          <w:ilvl w:val="0"/>
          <w:numId w:val="8"/>
        </w:numPr>
        <w:spacing w:before="0" w:after="160" w:line="259"/>
        <w:ind w:right="0" w:left="284" w:hanging="284"/>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Você sabia que não existe medição 100% confiável?</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Quando realizamos uma medição o resultado final sempre apresentará uma incerteza associada. O que se busca, na realidade, é estimar da melhor forma possível, tanto o valor da medida quanto o de sua incerteza. </w:t>
      </w:r>
    </w:p>
    <w:p>
      <w:pPr>
        <w:spacing w:before="0" w:after="160" w:line="259"/>
        <w:ind w:right="0" w:left="0" w:firstLine="0"/>
        <w:jc w:val="both"/>
        <w:rPr>
          <w:rFonts w:ascii="Calibri Light" w:hAnsi="Calibri Light" w:cs="Calibri Light" w:eastAsia="Calibri Light"/>
          <w:b/>
          <w:color w:val="0066B2"/>
          <w:spacing w:val="0"/>
          <w:position w:val="0"/>
          <w:sz w:val="22"/>
          <w:shd w:fill="00FF00" w:val="clear"/>
        </w:rPr>
      </w:pPr>
    </w:p>
    <w:p>
      <w:pPr>
        <w:spacing w:before="0" w:after="160" w:line="259"/>
        <w:ind w:right="0" w:left="0" w:firstLine="0"/>
        <w:jc w:val="both"/>
        <w:rPr>
          <w:rFonts w:ascii="Calibri Light" w:hAnsi="Calibri Light" w:cs="Calibri Light" w:eastAsia="Calibri Light"/>
          <w:b/>
          <w:color w:val="0066B2"/>
          <w:spacing w:val="0"/>
          <w:position w:val="0"/>
          <w:sz w:val="22"/>
          <w:shd w:fill="00FF00" w:val="clear"/>
        </w:rPr>
      </w:pPr>
      <w:r>
        <w:rPr>
          <w:rFonts w:ascii="Calibri Light" w:hAnsi="Calibri Light" w:cs="Calibri Light" w:eastAsia="Calibri Light"/>
          <w:b/>
          <w:color w:val="0066B2"/>
          <w:spacing w:val="0"/>
          <w:position w:val="0"/>
          <w:sz w:val="22"/>
          <w:shd w:fill="00FF00" w:val="clear"/>
        </w:rPr>
        <w:t xml:space="preserve">Imagem de referência para criação: </w:t>
      </w:r>
      <w:hyperlink xmlns:r="http://schemas.openxmlformats.org/officeDocument/2006/relationships" r:id="docRId15">
        <w:r>
          <w:rPr>
            <w:rFonts w:ascii="Calibri Light" w:hAnsi="Calibri Light" w:cs="Calibri Light" w:eastAsia="Calibri Light"/>
            <w:b/>
            <w:color w:val="0000FF"/>
            <w:spacing w:val="0"/>
            <w:position w:val="0"/>
            <w:sz w:val="22"/>
            <w:u w:val="single"/>
            <w:shd w:fill="00FF00" w:val="clear"/>
          </w:rPr>
          <w:t xml:space="preserve">https://news.certifee.com.br/img/artigos/5ee12f0571bbc.png</w:t>
        </w:r>
      </w:hyperlink>
    </w:p>
    <w:p>
      <w:pPr>
        <w:spacing w:before="0" w:after="160" w:line="259"/>
        <w:ind w:right="0" w:left="0" w:firstLine="0"/>
        <w:jc w:val="center"/>
        <w:rPr>
          <w:rFonts w:ascii="Calibri Light" w:hAnsi="Calibri Light" w:cs="Calibri Light" w:eastAsia="Calibri Light"/>
          <w:color w:val="auto"/>
          <w:spacing w:val="0"/>
          <w:position w:val="0"/>
          <w:sz w:val="22"/>
          <w:shd w:fill="auto" w:val="clear"/>
        </w:rPr>
      </w:pPr>
      <w:r>
        <w:object w:dxaOrig="4130" w:dyaOrig="2449">
          <v:rect xmlns:o="urn:schemas-microsoft-com:office:office" xmlns:v="urn:schemas-microsoft-com:vml" id="rectole0000000005" style="width:206.500000pt;height:122.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5" ShapeID="rectole0000000005" r:id="docRId16"/>
        </w:object>
      </w:r>
    </w:p>
    <w:p>
      <w:pPr>
        <w:spacing w:before="0" w:after="160" w:line="259"/>
        <w:ind w:right="0" w:left="0" w:firstLine="0"/>
        <w:jc w:val="center"/>
        <w:rPr>
          <w:rFonts w:ascii="Calibri Light" w:hAnsi="Calibri Light" w:cs="Calibri Light" w:eastAsia="Calibri Light"/>
          <w:color w:val="auto"/>
          <w:spacing w:val="0"/>
          <w:position w:val="0"/>
          <w:sz w:val="22"/>
          <w:shd w:fill="auto" w:val="clear"/>
        </w:rPr>
      </w:pPr>
    </w:p>
    <w:p>
      <w:pPr>
        <w:numPr>
          <w:ilvl w:val="0"/>
          <w:numId w:val="11"/>
        </w:numPr>
        <w:spacing w:before="0" w:after="160" w:line="259"/>
        <w:ind w:right="0" w:left="284" w:hanging="284"/>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Uma polegada equivale ao tamanho de um polegar? </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object w:dxaOrig="2571" w:dyaOrig="1741">
          <v:rect xmlns:o="urn:schemas-microsoft-com:office:office" xmlns:v="urn:schemas-microsoft-com:vml" id="rectole0000000006" style="width:128.550000pt;height:87.0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6" ShapeID="rectole0000000006" r:id="docRId18"/>
        </w:object>
      </w:r>
      <w:r>
        <w:rPr>
          <w:rFonts w:ascii="Calibri Light" w:hAnsi="Calibri Light" w:cs="Calibri Light" w:eastAsia="Calibri Light"/>
          <w:color w:val="auto"/>
          <w:spacing w:val="0"/>
          <w:position w:val="0"/>
          <w:sz w:val="22"/>
          <w:shd w:fill="00FF00" w:val="clear"/>
        </w:rPr>
        <w:t xml:space="preserve">Na verdade, não!</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No ponto de vista dimensional, o tamanho da polegada atualmente é 2,54 centímetros ou 25,4 milímetros, o que não corresponde antropometricamente ao tamanho de polegar de um ser humano de estatura média. Ela pode ser comparada a 3 grãos de cevada enfileirados ao comprido.</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20">
        <w:r>
          <w:rPr>
            <w:rFonts w:ascii="Calibri Light" w:hAnsi="Calibri Light" w:cs="Calibri Light" w:eastAsia="Calibri Light"/>
            <w:color w:val="0000FF"/>
            <w:spacing w:val="0"/>
            <w:position w:val="0"/>
            <w:sz w:val="22"/>
            <w:u w:val="single"/>
            <w:shd w:fill="00FF00" w:val="clear"/>
          </w:rPr>
          <w:t xml:space="preserve">https://entib.org.br/entib/imagens/Polegada-300px.jpg</w:t>
        </w:r>
      </w:hyperlink>
    </w:p>
    <w:p>
      <w:pPr>
        <w:numPr>
          <w:ilvl w:val="0"/>
          <w:numId w:val="13"/>
        </w:numPr>
        <w:spacing w:before="0" w:after="160" w:line="259"/>
        <w:ind w:right="0" w:left="284" w:hanging="284"/>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Você sabia que o desvio padrão é a medida de dispersão mais importante para a Metrologia?</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Com essa medida, podemos ter uma noção precisa da variação dos valores em torno da média. Basicamente, quanto menor for o desvio padrão, menor será a dispersão dos valores, ou seja, maior será o grau de precisão dessa medida.</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object w:dxaOrig="8139" w:dyaOrig="4353">
          <v:rect xmlns:o="urn:schemas-microsoft-com:office:office" xmlns:v="urn:schemas-microsoft-com:vml" id="rectole0000000007" style="width:406.950000pt;height:217.6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7" ShapeID="rectole0000000007" r:id="docRId21"/>
        </w:objec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Imagem retirada do vídeo sobre fator de abrangência k</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23">
        <w:r>
          <w:rPr>
            <w:rFonts w:ascii="Calibri Light" w:hAnsi="Calibri Light" w:cs="Calibri Light" w:eastAsia="Calibri Light"/>
            <w:color w:val="FF0000"/>
            <w:spacing w:val="0"/>
            <w:position w:val="0"/>
            <w:sz w:val="22"/>
            <w:u w:val="single"/>
            <w:shd w:fill="00FF00" w:val="clear"/>
          </w:rPr>
          <w:t xml:space="preserve">https://entib.org.br/ead/mod/book/view.php?id=1845</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 HYPERLINK "https://entib.org.br/ead/mod/book/view.php?id=1845</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&amp;</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chapterid=241"</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&amp;</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 HYPERLINK "https://entib.org.br/ead/mod/book/view.php?id=1845</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&amp;</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chapterid=241"</w:t>
        </w:r>
        <w:r>
          <w:rPr>
            <w:rFonts w:ascii="Calibri Light" w:hAnsi="Calibri Light" w:cs="Calibri Light" w:eastAsia="Calibri Light"/>
            <w:color w:val="FF0000"/>
            <w:spacing w:val="0"/>
            <w:position w:val="0"/>
            <w:sz w:val="22"/>
            <w:u w:val="single"/>
            <w:shd w:fill="00FF00" w:val="clear"/>
          </w:rPr>
          <w:t xml:space="preserve"> HYPERLINK "https://entib.org.br/ead/mod/book/view.php?id=1845&amp;chapterid=241"</w:t>
        </w:r>
        <w:r>
          <w:rPr>
            <w:rFonts w:ascii="Calibri Light" w:hAnsi="Calibri Light" w:cs="Calibri Light" w:eastAsia="Calibri Light"/>
            <w:color w:val="FF0000"/>
            <w:spacing w:val="0"/>
            <w:position w:val="0"/>
            <w:sz w:val="22"/>
            <w:u w:val="single"/>
            <w:shd w:fill="00FF00" w:val="clear"/>
          </w:rPr>
          <w:t xml:space="preserve">chapterid=241</w:t>
        </w:r>
      </w:hyperlink>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numPr>
          <w:ilvl w:val="0"/>
          <w:numId w:val="15"/>
        </w:numPr>
        <w:spacing w:before="0" w:after="160" w:line="259"/>
        <w:ind w:right="0" w:left="284" w:hanging="284"/>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Mitos e verdades sobre validação de métodos</w:t>
      </w:r>
    </w:p>
    <w:p>
      <w:pPr>
        <w:spacing w:before="0" w:after="160" w:line="259"/>
        <w:ind w:right="0" w:left="284" w:firstLine="0"/>
        <w:jc w:val="left"/>
        <w:rPr>
          <w:rFonts w:ascii="Calibri Light" w:hAnsi="Calibri Light" w:cs="Calibri Light" w:eastAsia="Calibri Light"/>
          <w:b/>
          <w:color w:val="E1B937"/>
          <w:spacing w:val="0"/>
          <w:position w:val="0"/>
          <w:sz w:val="22"/>
          <w:shd w:fill="auto" w:val="clear"/>
        </w:rPr>
      </w:pPr>
      <w:r>
        <w:rPr>
          <w:rFonts w:ascii="Calibri Light" w:hAnsi="Calibri Light" w:cs="Calibri Light" w:eastAsia="Calibri Light"/>
          <w:b/>
          <w:color w:val="E1B937"/>
          <w:spacing w:val="0"/>
          <w:position w:val="0"/>
          <w:sz w:val="22"/>
          <w:shd w:fill="auto" w:val="clear"/>
        </w:rPr>
        <w:t xml:space="preserve">Obs.: Podemos criar um post para cada tópico a seguir</w:t>
      </w:r>
    </w:p>
    <w:tbl>
      <w:tblPr/>
      <w:tblGrid>
        <w:gridCol w:w="704"/>
        <w:gridCol w:w="4394"/>
        <w:gridCol w:w="4248"/>
      </w:tblGrid>
      <w:tr>
        <w:trPr>
          <w:trHeight w:val="1" w:hRule="atLeast"/>
          <w:jc w:val="left"/>
        </w:trPr>
        <w:tc>
          <w:tcPr>
            <w:tcW w:w="704" w:type="dxa"/>
            <w:tcBorders>
              <w:top w:val="single" w:color="000000" w:sz="4"/>
              <w:left w:val="single" w:color="000000" w:sz="4"/>
              <w:bottom w:val="single" w:color="000000" w:sz="4"/>
              <w:right w:val="single" w:color="000000" w:sz="4"/>
            </w:tcBorders>
            <w:shd w:color="auto" w:fill="0066b2" w:val="clear"/>
            <w:tcMar>
              <w:left w:w="108" w:type="dxa"/>
              <w:right w:w="108" w:type="dxa"/>
            </w:tcMar>
            <w:vAlign w:val="top"/>
          </w:tcPr>
          <w:p>
            <w:pPr>
              <w:spacing w:before="0" w:after="0" w:line="360"/>
              <w:ind w:right="0" w:left="0" w:firstLine="0"/>
              <w:jc w:val="center"/>
              <w:rPr>
                <w:spacing w:val="0"/>
                <w:position w:val="0"/>
                <w:sz w:val="22"/>
              </w:rPr>
            </w:pPr>
            <w:r>
              <w:rPr>
                <w:rFonts w:ascii="Calibri Light" w:hAnsi="Calibri Light" w:cs="Calibri Light" w:eastAsia="Calibri Light"/>
                <w:b/>
                <w:color w:val="FFFFFF"/>
                <w:spacing w:val="0"/>
                <w:position w:val="0"/>
                <w:sz w:val="22"/>
                <w:shd w:fill="auto" w:val="clear"/>
              </w:rPr>
              <w:t xml:space="preserve">Post</w:t>
            </w:r>
          </w:p>
        </w:tc>
        <w:tc>
          <w:tcPr>
            <w:tcW w:w="4394" w:type="dxa"/>
            <w:tcBorders>
              <w:top w:val="single" w:color="000000" w:sz="4"/>
              <w:left w:val="single" w:color="000000" w:sz="4"/>
              <w:bottom w:val="single" w:color="000000" w:sz="4"/>
              <w:right w:val="single" w:color="000000" w:sz="4"/>
            </w:tcBorders>
            <w:shd w:color="auto" w:fill="0066b2"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b/>
                <w:color w:val="FFFFFF"/>
                <w:spacing w:val="0"/>
                <w:position w:val="0"/>
                <w:sz w:val="22"/>
                <w:shd w:fill="auto" w:val="clear"/>
              </w:rPr>
              <w:t xml:space="preserve">Descrição</w:t>
            </w:r>
          </w:p>
        </w:tc>
        <w:tc>
          <w:tcPr>
            <w:tcW w:w="4248" w:type="dxa"/>
            <w:tcBorders>
              <w:top w:val="single" w:color="000000" w:sz="4"/>
              <w:left w:val="single" w:color="000000" w:sz="4"/>
              <w:bottom w:val="single" w:color="000000" w:sz="4"/>
              <w:right w:val="single" w:color="000000" w:sz="4"/>
            </w:tcBorders>
            <w:shd w:color="auto" w:fill="0066b2"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b/>
                <w:color w:val="FFFFFF"/>
                <w:spacing w:val="0"/>
                <w:position w:val="0"/>
                <w:sz w:val="22"/>
                <w:shd w:fill="auto" w:val="clear"/>
              </w:rPr>
              <w:t xml:space="preserve">Mito ou Verdade?</w:t>
            </w:r>
          </w:p>
        </w:tc>
      </w:tr>
      <w:tr>
        <w:trPr>
          <w:trHeight w:val="1582"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01</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O laboratório deve validar seu método apenas se pretende atender a norma ISO/IEC 17025.</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shd w:fill="00FF00" w:val="clear"/>
              </w:rPr>
            </w:pPr>
            <w:r>
              <w:rPr>
                <w:rFonts w:ascii="Calibri Light" w:hAnsi="Calibri Light" w:cs="Calibri Light" w:eastAsia="Calibri Light"/>
                <w:color w:val="FF1919"/>
                <w:spacing w:val="0"/>
                <w:position w:val="0"/>
                <w:sz w:val="22"/>
                <w:shd w:fill="00FF00" w:val="clear"/>
              </w:rPr>
              <w:t xml:space="preserve">Mito! O laboratório deve validar seu método para garantir a confiabilidade dos seus resultados, independente se vai buscar ou não a acreditação de seus ensaios.</w:t>
            </w:r>
          </w:p>
        </w:tc>
      </w:tr>
      <w:tr>
        <w:trPr>
          <w:trHeight w:val="1703"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02</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Validar o método é demorado e muito caro.</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shd w:fill="00FF00" w:val="clear"/>
              </w:rPr>
            </w:pPr>
            <w:r>
              <w:rPr>
                <w:rFonts w:ascii="Calibri Light" w:hAnsi="Calibri Light" w:cs="Calibri Light" w:eastAsia="Calibri Light"/>
                <w:color w:val="FF1919"/>
                <w:spacing w:val="0"/>
                <w:position w:val="0"/>
                <w:sz w:val="22"/>
                <w:shd w:fill="00FF00" w:val="clear"/>
              </w:rPr>
              <w:t xml:space="preserve">Mito. A validação do método pode ser organizada de forma otimizada, desde que a equipe envolvida tenha o conhecimento necessário para tal fato.</w:t>
            </w:r>
          </w:p>
        </w:tc>
      </w:tr>
      <w:tr>
        <w:trPr>
          <w:trHeight w:val="976"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03</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Exatidão e Precisão são parâmetros fundamentais na validação do método.</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0066B2"/>
                <w:spacing w:val="0"/>
                <w:position w:val="0"/>
                <w:sz w:val="22"/>
                <w:shd w:fill="auto" w:val="clear"/>
              </w:rPr>
              <w:t xml:space="preserve">Verdade. Estes são dois dos parâmetros mais importantes em um processo de validação.</w:t>
            </w:r>
          </w:p>
        </w:tc>
      </w:tr>
      <w:tr>
        <w:trPr>
          <w:trHeight w:val="1543"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04</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Método Normalizado não precisa ser validado nem precisa de confirmação de desempenho.</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FF1919"/>
                <w:spacing w:val="0"/>
                <w:position w:val="0"/>
                <w:sz w:val="22"/>
                <w:shd w:fill="auto" w:val="clear"/>
              </w:rPr>
              <w:t xml:space="preserve">Mito. É necessário confirmar o desempenho de métodos normalizados para garantir que o laboratório tem condições técnicas de operá-lo adequadamente.</w:t>
            </w:r>
          </w:p>
        </w:tc>
      </w:tr>
      <w:tr>
        <w:trPr>
          <w:trHeight w:val="1" w:hRule="atLeast"/>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05</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O conhecimento da equipe de analistas é fundamental na etapa de validação do método.</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0066B2"/>
                <w:spacing w:val="0"/>
                <w:position w:val="0"/>
                <w:sz w:val="22"/>
                <w:shd w:fill="auto" w:val="clear"/>
              </w:rPr>
              <w:t xml:space="preserve">Verdade. O conhecimento técnico é essencial na etapa de validação, para garantir que os requisitos do método foram adequadamente estipulados e atendidos.</w:t>
            </w:r>
          </w:p>
        </w:tc>
      </w:tr>
      <w:tr>
        <w:trPr>
          <w:trHeight w:val="1304"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06</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Se o laboratório não tiver Material de Referência Certificado ele não pode concluir a validação do método.</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FF1919"/>
                <w:spacing w:val="0"/>
                <w:position w:val="0"/>
                <w:sz w:val="22"/>
                <w:shd w:fill="auto" w:val="clear"/>
              </w:rPr>
              <w:t xml:space="preserve">Mito. É possível avaliar a exatidão do método com alternativas. Um exemplo é a participação em Ensaios de Proficiência.</w:t>
            </w:r>
          </w:p>
        </w:tc>
      </w:tr>
      <w:tr>
        <w:trPr>
          <w:trHeight w:val="2386"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07</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Para considerar um método devidamente validado, é obrigatório participar de um Ensaio de Proficiência.</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FF1919"/>
                <w:spacing w:val="0"/>
                <w:position w:val="0"/>
                <w:sz w:val="22"/>
                <w:shd w:fill="auto" w:val="clear"/>
              </w:rPr>
              <w:t xml:space="preserve">Mito. É recomendado que o laboratório participe de Ensaios de Proficiência, mas é possível validar o método de forma interna, garantindo o rigor necessário e todas as características de desempenho analíticas necessárias para sua operação.</w:t>
            </w:r>
          </w:p>
        </w:tc>
      </w:tr>
      <w:tr>
        <w:trPr>
          <w:trHeight w:val="2123" w:hRule="auto"/>
          <w:jc w:val="left"/>
        </w:trPr>
        <w:tc>
          <w:tcPr>
            <w:tcW w:w="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08</w:t>
            </w:r>
          </w:p>
        </w:tc>
        <w:tc>
          <w:tcPr>
            <w:tcW w:w="43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z w:val="22"/>
              </w:rPr>
            </w:pPr>
            <w:r>
              <w:rPr>
                <w:rFonts w:ascii="Calibri Light" w:hAnsi="Calibri Light" w:cs="Calibri Light" w:eastAsia="Calibri Light"/>
                <w:color w:val="auto"/>
                <w:spacing w:val="0"/>
                <w:position w:val="0"/>
                <w:sz w:val="22"/>
                <w:shd w:fill="auto" w:val="clear"/>
              </w:rPr>
              <w:t xml:space="preserve">Após validar o método é necessário estabelecer um processo de controle de qualidade.</w:t>
            </w:r>
          </w:p>
        </w:tc>
        <w:tc>
          <w:tcPr>
            <w:tcW w:w="42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spacing w:val="0"/>
                <w:position w:val="0"/>
                <w:sz w:val="22"/>
              </w:rPr>
            </w:pPr>
            <w:r>
              <w:rPr>
                <w:rFonts w:ascii="Calibri Light" w:hAnsi="Calibri Light" w:cs="Calibri Light" w:eastAsia="Calibri Light"/>
                <w:color w:val="0066B2"/>
                <w:spacing w:val="0"/>
                <w:position w:val="0"/>
                <w:sz w:val="22"/>
                <w:shd w:fill="auto" w:val="clear"/>
              </w:rPr>
              <w:t xml:space="preserve">Verdade. A validação por si só não garante o desempenho adequado do método ao longo do tempo. O laboratório deve estipular procedimentos para garantir a qualidade dos seus ensaios na sua rotina.</w:t>
            </w:r>
          </w:p>
        </w:tc>
      </w:tr>
    </w:tbl>
    <w:p>
      <w:pPr>
        <w:spacing w:before="0" w:after="160" w:line="259"/>
        <w:ind w:right="0" w:left="284" w:firstLine="0"/>
        <w:jc w:val="left"/>
        <w:rPr>
          <w:rFonts w:ascii="Calibri Light" w:hAnsi="Calibri Light" w:cs="Calibri Light" w:eastAsia="Calibri Light"/>
          <w:b/>
          <w:color w:val="E1B937"/>
          <w:spacing w:val="0"/>
          <w:position w:val="0"/>
          <w:sz w:val="22"/>
          <w:shd w:fill="auto" w:val="clear"/>
        </w:rPr>
      </w:pPr>
    </w:p>
    <w:p>
      <w:pPr>
        <w:numPr>
          <w:ilvl w:val="0"/>
          <w:numId w:val="45"/>
        </w:numPr>
        <w:spacing w:before="0" w:after="160" w:line="259"/>
        <w:ind w:right="0" w:left="284" w:hanging="284"/>
        <w:jc w:val="left"/>
        <w:rPr>
          <w:rFonts w:ascii="Calibri Light" w:hAnsi="Calibri Light" w:cs="Calibri Light" w:eastAsia="Calibri Light"/>
          <w:b/>
          <w:color w:val="auto"/>
          <w:spacing w:val="0"/>
          <w:position w:val="0"/>
          <w:sz w:val="22"/>
          <w:shd w:fill="auto" w:val="clear"/>
        </w:rPr>
      </w:pPr>
      <w:r>
        <w:object w:dxaOrig="2004" w:dyaOrig="2044">
          <v:rect xmlns:o="urn:schemas-microsoft-com:office:office" xmlns:v="urn:schemas-microsoft-com:vml" id="rectole0000000008" style="width:100.200000pt;height:102.2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8" ShapeID="rectole0000000008" r:id="docRId24"/>
        </w:object>
      </w:r>
      <w:r>
        <w:rPr>
          <w:rFonts w:ascii="Calibri Light" w:hAnsi="Calibri Light" w:cs="Calibri Light" w:eastAsia="Calibri Light"/>
          <w:b/>
          <w:color w:val="auto"/>
          <w:spacing w:val="0"/>
          <w:position w:val="0"/>
          <w:sz w:val="22"/>
          <w:shd w:fill="auto" w:val="clear"/>
        </w:rPr>
        <w:t xml:space="preserve">Você sabe o que significa ser um laboratório acreditado? </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rPr>
          <w:rFonts w:ascii="Calibri Light" w:hAnsi="Calibri Light" w:cs="Calibri Light" w:eastAsia="Calibri Light"/>
          <w:color w:val="auto"/>
          <w:spacing w:val="0"/>
          <w:position w:val="0"/>
          <w:sz w:val="22"/>
          <w:shd w:fill="auto" w:val="clear"/>
        </w:rPr>
        <w:t xml:space="preserve">Um laboratório acreditado é aquele que consegue demonstrar, por meio de evidências objetivas, que seus resultados são confiáveis, rastreáveis</w:t>
      </w:r>
      <w:hyperlink xmlns:r="http://schemas.openxmlformats.org/officeDocument/2006/relationships" r:id="docRId26">
        <w:r>
          <w:rPr>
            <w:rFonts w:ascii="Calibri Light" w:hAnsi="Calibri Light" w:cs="Calibri Light" w:eastAsia="Calibri Light"/>
            <w:color w:val="0000FF"/>
            <w:spacing w:val="0"/>
            <w:position w:val="0"/>
            <w:sz w:val="22"/>
            <w:u w:val="single"/>
            <w:shd w:fill="auto" w:val="clear"/>
          </w:rPr>
          <w:t xml:space="preserve"> </w:t>
        </w:r>
      </w:hyperlink>
      <w:r>
        <w:rPr>
          <w:rFonts w:ascii="Calibri Light" w:hAnsi="Calibri Light" w:cs="Calibri Light" w:eastAsia="Calibri Light"/>
          <w:color w:val="auto"/>
          <w:spacing w:val="0"/>
          <w:position w:val="0"/>
          <w:sz w:val="22"/>
          <w:shd w:fill="auto" w:val="clear"/>
        </w:rPr>
        <w:t xml:space="preserve">e comparáveis (com outros laboratórios acreditados). Ou seja, é um atestado de que o paciente pode confiar no resultado!</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r>
        <w:rPr>
          <w:rFonts w:ascii="Calibri Light" w:hAnsi="Calibri Light" w:cs="Calibri Light" w:eastAsia="Calibri Light"/>
          <w:color w:val="auto"/>
          <w:spacing w:val="0"/>
          <w:position w:val="0"/>
          <w:sz w:val="22"/>
          <w:shd w:fill="auto" w:val="clear"/>
        </w:rPr>
        <w:t xml:space="preserve">link para imagem: </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hyperlink xmlns:r="http://schemas.openxmlformats.org/officeDocument/2006/relationships" r:id="docRId27">
        <w:r>
          <w:rPr>
            <w:rFonts w:ascii="Calibri Light" w:hAnsi="Calibri Light" w:cs="Calibri Light" w:eastAsia="Calibri Light"/>
            <w:color w:val="0000FF"/>
            <w:spacing w:val="0"/>
            <w:position w:val="0"/>
            <w:sz w:val="22"/>
            <w:u w:val="single"/>
            <w:shd w:fill="auto" w:val="clear"/>
          </w:rPr>
          <w:t xml:space="preserve">https://prodsaude.entib.org.br/prodsaude/imagens/Acreditacao.PNG</w:t>
        </w:r>
      </w:hyperlink>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numPr>
          <w:ilvl w:val="0"/>
          <w:numId w:val="47"/>
        </w:numPr>
        <w:spacing w:before="0" w:after="160" w:line="259"/>
        <w:ind w:right="0" w:left="284" w:hanging="284"/>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Você sabe para que serve a ferramenta “Ciclo PDCA”?</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object w:dxaOrig="2085" w:dyaOrig="2065">
          <v:rect xmlns:o="urn:schemas-microsoft-com:office:office" xmlns:v="urn:schemas-microsoft-com:vml" id="rectole0000000009" style="width:104.250000pt;height:103.2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09" ShapeID="rectole0000000009" r:id="docRId28"/>
        </w:object>
      </w:r>
      <w:r>
        <w:rPr>
          <w:rFonts w:ascii="Calibri Light" w:hAnsi="Calibri Light" w:cs="Calibri Light" w:eastAsia="Calibri Light"/>
          <w:color w:val="auto"/>
          <w:spacing w:val="0"/>
          <w:position w:val="0"/>
          <w:sz w:val="22"/>
          <w:shd w:fill="00FF00" w:val="clear"/>
        </w:rPr>
        <w:t xml:space="preserve">Para Gerenciamento e solução de problemas! O PDCA serve para organizarmos os planos de ação a fim de resolvermos problemas ou implantarmos melhorias.</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Link da imagem: </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30">
        <w:r>
          <w:rPr>
            <w:rFonts w:ascii="Calibri Light" w:hAnsi="Calibri Light" w:cs="Calibri Light" w:eastAsia="Calibri Light"/>
            <w:color w:val="0000FF"/>
            <w:spacing w:val="0"/>
            <w:position w:val="0"/>
            <w:sz w:val="22"/>
            <w:u w:val="single"/>
            <w:shd w:fill="00FF00" w:val="clear"/>
          </w:rPr>
          <w:t xml:space="preserve">https://prodsaude.entib.org.br/prodsaude/imagens/15189_A01_t02_PDCA.jpg</w:t>
        </w:r>
      </w:hyperlink>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numPr>
          <w:ilvl w:val="0"/>
          <w:numId w:val="49"/>
        </w:numPr>
        <w:tabs>
          <w:tab w:val="left" w:pos="284"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Você sabia que a norma ABNT NBR ISO 15189, as condições mínimas que o laboratório deve oferecer aos clientes, em relação às suas instalações no momento das coletas?</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São elas: Privacidade, conforto e satisfação de suas necessidades (por exemplo, acesso para pessoas com mobilidade reduzida, banheiros), assim como acomodações adequadas para acompanhantes (por exemplo, acompanhantes ou intérpretes). </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numPr>
          <w:ilvl w:val="0"/>
          <w:numId w:val="51"/>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object w:dxaOrig="2632" w:dyaOrig="3462">
          <v:rect xmlns:o="urn:schemas-microsoft-com:office:office" xmlns:v="urn:schemas-microsoft-com:vml" id="rectole0000000010" style="width:131.600000pt;height:173.1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0" ShapeID="rectole0000000010" r:id="docRId31"/>
        </w:object>
      </w:r>
      <w:r>
        <w:rPr>
          <w:rFonts w:ascii="Calibri Light" w:hAnsi="Calibri Light" w:cs="Calibri Light" w:eastAsia="Calibri Light"/>
          <w:b/>
          <w:color w:val="auto"/>
          <w:spacing w:val="0"/>
          <w:position w:val="0"/>
          <w:sz w:val="22"/>
          <w:shd w:fill="00FF00" w:val="clear"/>
        </w:rPr>
        <w:t xml:space="preserve">Você sabe o que é gestão de riscos?</w:t>
      </w: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A gestão de riscos trata especificamente das incertezas inerentes a qualquer processo produtivo, sua gestão auxilia na tomada de decisões, diminuindo as perdas e aumentando os ganhos. </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Imagem de referência para criação: </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33">
        <w:r>
          <w:rPr>
            <w:rFonts w:ascii="Calibri Light" w:hAnsi="Calibri Light" w:cs="Calibri Light" w:eastAsia="Calibri Light"/>
            <w:color w:val="0000FF"/>
            <w:spacing w:val="0"/>
            <w:position w:val="0"/>
            <w:sz w:val="22"/>
            <w:u w:val="single"/>
            <w:shd w:fill="00FF00" w:val="clear"/>
          </w:rPr>
          <w:t xml:space="preserve">https://static.wixstatic.com/media/7fe449_97b5d19df8544f32860a2ef59ad9f654~mv2.jpg/v1/fill/w_284,h_410,al_c,q_80,usm_0.66_1.00_0.01/7fe449_97b5d19df8544f32860a2ef59ad9f654~mv2.webp</w:t>
        </w:r>
      </w:hyperlink>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numPr>
          <w:ilvl w:val="0"/>
          <w:numId w:val="53"/>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Você sabe o que é Metrologia cientifica?</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object w:dxaOrig="1923" w:dyaOrig="1275">
          <v:rect xmlns:o="urn:schemas-microsoft-com:office:office" xmlns:v="urn:schemas-microsoft-com:vml" id="rectole0000000011" style="width:96.150000pt;height:63.7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1" ShapeID="rectole0000000011" r:id="docRId34"/>
        </w:object>
      </w:r>
      <w:r>
        <w:rPr>
          <w:rFonts w:ascii="Calibri Light" w:hAnsi="Calibri Light" w:cs="Calibri Light" w:eastAsia="Calibri Light"/>
          <w:color w:val="auto"/>
          <w:spacing w:val="0"/>
          <w:position w:val="0"/>
          <w:sz w:val="22"/>
          <w:shd w:fill="00FF00" w:val="clear"/>
        </w:rPr>
        <w:t xml:space="preserve">Esta é a área da metrologia que mantém e aprimora os padrões internacionais de medição e desenvolver novas tecnologias de medição. É a área dedicada à pesquisa e ao desenvolvimento de equipamentos e métodos de medição.</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36">
        <w:r>
          <w:rPr>
            <w:rFonts w:ascii="Calibri Light" w:hAnsi="Calibri Light" w:cs="Calibri Light" w:eastAsia="Calibri Light"/>
            <w:color w:val="0000FF"/>
            <w:spacing w:val="0"/>
            <w:position w:val="0"/>
            <w:sz w:val="22"/>
            <w:u w:val="single"/>
            <w:shd w:fill="00FF00" w:val="clear"/>
          </w:rPr>
          <w:t xml:space="preserve">https://entib.org.br/entib/imagens/shutterstock_220111951totojang1977.jpg</w:t>
        </w:r>
      </w:hyperlink>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numPr>
          <w:ilvl w:val="0"/>
          <w:numId w:val="55"/>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rPr>
          <w:rFonts w:ascii="Calibri Light" w:hAnsi="Calibri Light" w:cs="Calibri Light" w:eastAsia="Calibri Light"/>
          <w:b/>
          <w:color w:val="auto"/>
          <w:spacing w:val="0"/>
          <w:position w:val="0"/>
          <w:sz w:val="22"/>
          <w:shd w:fill="00FF00" w:val="clear"/>
        </w:rPr>
        <w:t xml:space="preserve">Para que serve a Metrologia Industrial?</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object w:dxaOrig="1923" w:dyaOrig="1275">
          <v:rect xmlns:o="urn:schemas-microsoft-com:office:office" xmlns:v="urn:schemas-microsoft-com:vml" id="rectole0000000012" style="width:96.150000pt;height:63.7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2" ShapeID="rectole0000000012" r:id="docRId37"/>
        </w:object>
      </w:r>
      <w:r>
        <w:rPr>
          <w:rFonts w:ascii="Calibri Light" w:hAnsi="Calibri Light" w:cs="Calibri Light" w:eastAsia="Calibri Light"/>
          <w:color w:val="auto"/>
          <w:spacing w:val="0"/>
          <w:position w:val="0"/>
          <w:sz w:val="22"/>
          <w:shd w:fill="00FF00" w:val="clear"/>
        </w:rPr>
        <w:t xml:space="preserve">A Metrologia Industrial atua no campo da indústria e procura definir e aperfeiçoar critérios para a aceitação de um instrumento ou método de medição válido para um determinado nível de confiança, a fim de tornar o processo produtivo mais eficiente, reduzindo custos de produção e retrabalho.</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hyperlink xmlns:r="http://schemas.openxmlformats.org/officeDocument/2006/relationships" r:id="docRId39">
        <w:r>
          <w:rPr>
            <w:rFonts w:ascii="Calibri Light" w:hAnsi="Calibri Light" w:cs="Calibri Light" w:eastAsia="Calibri Light"/>
            <w:color w:val="0000FF"/>
            <w:spacing w:val="0"/>
            <w:position w:val="0"/>
            <w:sz w:val="22"/>
            <w:u w:val="single"/>
            <w:shd w:fill="00FF00" w:val="clear"/>
          </w:rPr>
          <w:t xml:space="preserve">https://entib.org.br/entib/imagens/shutterstock_83205517_Christian-Lagerek.jpg</w:t>
        </w:r>
      </w:hyperlink>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p>
    <w:p>
      <w:pPr>
        <w:numPr>
          <w:ilvl w:val="0"/>
          <w:numId w:val="57"/>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object w:dxaOrig="2267" w:dyaOrig="1862">
          <v:rect xmlns:o="urn:schemas-microsoft-com:office:office" xmlns:v="urn:schemas-microsoft-com:vml" id="rectole0000000013" style="width:113.350000pt;height:93.1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3" ShapeID="rectole0000000013" r:id="docRId40"/>
        </w:object>
      </w:r>
      <w:r>
        <w:rPr>
          <w:rFonts w:ascii="Calibri Light" w:hAnsi="Calibri Light" w:cs="Calibri Light" w:eastAsia="Calibri Light"/>
          <w:b/>
          <w:color w:val="auto"/>
          <w:spacing w:val="0"/>
          <w:position w:val="0"/>
          <w:sz w:val="22"/>
          <w:shd w:fill="00FF00" w:val="clear"/>
        </w:rPr>
        <w:t xml:space="preserve">A Metrologia Legal</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Esta é a área da metrologia que mais interessa ao cidadão comum, pois tem como objetivo principal proteger o consumidor. Ela trata das unidades de medida, dos métodos e instrumentos de medição, de acordo com as exigências técnicas e legais obrigatórias. Dentre as áreas da metrologia legal, destacam-se as operações de compra e venda, brinquedo, equipamentos médicos e hospitalares, segurança ocupacional, produtos pré-medidos (aqueles que são medidos na ausência do consumidor) e toda e qualquer medição que envolva risco indesejável ao consumidor. </w:t>
      </w:r>
    </w:p>
    <w:p>
      <w:pPr>
        <w:spacing w:before="0" w:after="160" w:line="259"/>
        <w:ind w:right="0" w:left="0" w:firstLine="0"/>
        <w:jc w:val="both"/>
        <w:rPr>
          <w:rFonts w:ascii="Calibri Light" w:hAnsi="Calibri Light" w:cs="Calibri Light" w:eastAsia="Calibri Light"/>
          <w:color w:val="FF0000"/>
          <w:spacing w:val="0"/>
          <w:position w:val="0"/>
          <w:sz w:val="22"/>
          <w:u w:val="single"/>
          <w:shd w:fill="00FF00" w:val="clear"/>
        </w:rPr>
      </w:pPr>
      <w:hyperlink xmlns:r="http://schemas.openxmlformats.org/officeDocument/2006/relationships" r:id="docRId42">
        <w:r>
          <w:rPr>
            <w:rFonts w:ascii="Calibri Light" w:hAnsi="Calibri Light" w:cs="Calibri Light" w:eastAsia="Calibri Light"/>
            <w:color w:val="0000FF"/>
            <w:spacing w:val="0"/>
            <w:position w:val="0"/>
            <w:sz w:val="22"/>
            <w:u w:val="single"/>
            <w:shd w:fill="00FF00" w:val="clear"/>
          </w:rPr>
          <w:t xml:space="preserve">https://entib.org.br/entib/imagens/shutterstock_1647823James-Steidl.jpg</w:t>
        </w:r>
      </w:hyperlink>
    </w:p>
    <w:p>
      <w:pPr>
        <w:spacing w:before="0" w:after="150" w:line="240"/>
        <w:ind w:right="0" w:left="0" w:firstLine="0"/>
        <w:jc w:val="both"/>
        <w:rPr>
          <w:rFonts w:ascii="Roboto" w:hAnsi="Roboto" w:cs="Roboto" w:eastAsia="Roboto"/>
          <w:color w:val="666666"/>
          <w:spacing w:val="0"/>
          <w:position w:val="0"/>
          <w:sz w:val="20"/>
          <w:shd w:fill="00FF00" w:val="clear"/>
        </w:rPr>
      </w:pPr>
    </w:p>
    <w:p>
      <w:pPr>
        <w:numPr>
          <w:ilvl w:val="0"/>
          <w:numId w:val="60"/>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00FF00" w:val="clear"/>
        </w:rPr>
      </w:pPr>
      <w:r>
        <w:object w:dxaOrig="2510" w:dyaOrig="2794">
          <v:rect xmlns:o="urn:schemas-microsoft-com:office:office" xmlns:v="urn:schemas-microsoft-com:vml" id="rectole0000000014" style="width:125.500000pt;height:139.7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4" ShapeID="rectole0000000014" r:id="docRId43"/>
        </w:object>
      </w:r>
      <w:r>
        <w:rPr>
          <w:rFonts w:ascii="Calibri Light" w:hAnsi="Calibri Light" w:cs="Calibri Light" w:eastAsia="Calibri Light"/>
          <w:b/>
          <w:color w:val="auto"/>
          <w:spacing w:val="0"/>
          <w:position w:val="0"/>
          <w:sz w:val="22"/>
          <w:shd w:fill="00FF00" w:val="clear"/>
        </w:rPr>
        <w:t xml:space="preserve">História da metrologia</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O faraó Khufu foi o primeiro a decretar a utilização de um padrão único para as medidas dos Egípcios.</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O padrão escolhido foi feito de granito preto e chamado de ”Cúbito Real Egípcio”. Seu comprimento era equivalente à distância do cotovelo até a ponta do dedo médio do faraó.</w:t>
      </w:r>
    </w:p>
    <w:p>
      <w:pPr>
        <w:spacing w:before="0" w:after="160" w:line="259"/>
        <w:ind w:right="0" w:left="0" w:firstLine="0"/>
        <w:jc w:val="both"/>
        <w:rPr>
          <w:rFonts w:ascii="Calibri Light" w:hAnsi="Calibri Light" w:cs="Calibri Light" w:eastAsia="Calibri Light"/>
          <w:color w:val="auto"/>
          <w:spacing w:val="0"/>
          <w:position w:val="0"/>
          <w:sz w:val="22"/>
          <w:shd w:fill="00FF00" w:val="clear"/>
        </w:rPr>
      </w:pPr>
      <w:r>
        <w:rPr>
          <w:rFonts w:ascii="Calibri Light" w:hAnsi="Calibri Light" w:cs="Calibri Light" w:eastAsia="Calibri Light"/>
          <w:color w:val="auto"/>
          <w:spacing w:val="0"/>
          <w:position w:val="0"/>
          <w:sz w:val="22"/>
          <w:shd w:fill="00FF00" w:val="clear"/>
        </w:rPr>
        <w:t xml:space="preserve">Este padrão foi muito eficiente pois garantiu que a base da Grande Pirâmide (2900 a.C) fosse perfeitamente quadrada. O comprimento de cada lado não se desviou mais que 0,05% do seu valor médio de 228,6 metros.</w:t>
      </w:r>
    </w:p>
    <w:p>
      <w:pPr>
        <w:spacing w:before="0" w:after="160" w:line="259"/>
        <w:ind w:right="0" w:left="0" w:firstLine="0"/>
        <w:jc w:val="both"/>
        <w:rPr>
          <w:rFonts w:ascii="Calibri Light" w:hAnsi="Calibri Light" w:cs="Calibri Light" w:eastAsia="Calibri Light"/>
          <w:color w:val="FF0000"/>
          <w:spacing w:val="0"/>
          <w:position w:val="0"/>
          <w:sz w:val="22"/>
          <w:u w:val="single"/>
          <w:shd w:fill="00FF00" w:val="clear"/>
        </w:rPr>
      </w:pPr>
      <w:hyperlink xmlns:r="http://schemas.openxmlformats.org/officeDocument/2006/relationships" r:id="docRId45">
        <w:r>
          <w:rPr>
            <w:rFonts w:ascii="Calibri Light" w:hAnsi="Calibri Light" w:cs="Calibri Light" w:eastAsia="Calibri Light"/>
            <w:color w:val="0000FF"/>
            <w:spacing w:val="0"/>
            <w:position w:val="0"/>
            <w:sz w:val="22"/>
            <w:u w:val="single"/>
            <w:shd w:fill="00FF00" w:val="clear"/>
          </w:rPr>
          <w:t xml:space="preserve">https://entib.org.br/entib/imagens/Vectomart.jpg</w:t>
        </w:r>
      </w:hyperlink>
    </w:p>
    <w:p>
      <w:pPr>
        <w:spacing w:before="0" w:after="160" w:line="259"/>
        <w:ind w:right="0" w:left="0" w:firstLine="0"/>
        <w:jc w:val="both"/>
        <w:rPr>
          <w:rFonts w:ascii="Calibri Light" w:hAnsi="Calibri Light" w:cs="Calibri Light" w:eastAsia="Calibri Light"/>
          <w:color w:val="FF0000"/>
          <w:spacing w:val="0"/>
          <w:position w:val="0"/>
          <w:sz w:val="22"/>
          <w:u w:val="single"/>
          <w:shd w:fill="auto" w:val="clear"/>
        </w:rPr>
      </w:pPr>
    </w:p>
    <w:p>
      <w:pPr>
        <w:numPr>
          <w:ilvl w:val="0"/>
          <w:numId w:val="62"/>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Vantagens e desvantagens da Avaliação da Conformidade</w:t>
      </w:r>
    </w:p>
    <w:p>
      <w:pPr>
        <w:spacing w:before="0" w:after="160" w:line="259"/>
        <w:ind w:right="0" w:left="0" w:firstLine="0"/>
        <w:jc w:val="both"/>
        <w:rPr>
          <w:rFonts w:ascii="Calibri Light" w:hAnsi="Calibri Light" w:cs="Calibri Light" w:eastAsia="Calibri Light"/>
          <w:i/>
          <w:color w:val="E1B937"/>
          <w:spacing w:val="0"/>
          <w:position w:val="0"/>
          <w:sz w:val="22"/>
          <w:u w:val="single"/>
          <w:shd w:fill="auto" w:val="clear"/>
        </w:rPr>
      </w:pPr>
      <w:r>
        <w:rPr>
          <w:rFonts w:ascii="Calibri Light" w:hAnsi="Calibri Light" w:cs="Calibri Light" w:eastAsia="Calibri Light"/>
          <w:i/>
          <w:color w:val="E1B937"/>
          <w:spacing w:val="0"/>
          <w:position w:val="0"/>
          <w:sz w:val="22"/>
          <w:u w:val="single"/>
          <w:shd w:fill="auto" w:val="clear"/>
        </w:rPr>
        <w:t xml:space="preserve">Obs.: Para este post seria interessante fazer várias telas sequenciais, iniciando com:</w:t>
      </w:r>
    </w:p>
    <w:p>
      <w:pPr>
        <w:spacing w:before="0" w:after="160" w:line="259"/>
        <w:ind w:right="0" w:left="0" w:firstLine="0"/>
        <w:jc w:val="both"/>
        <w:rPr>
          <w:rFonts w:ascii="Calibri Light" w:hAnsi="Calibri Light" w:cs="Calibri Light" w:eastAsia="Calibri Light"/>
          <w:i/>
          <w:color w:val="E1B937"/>
          <w:spacing w:val="0"/>
          <w:position w:val="0"/>
          <w:sz w:val="22"/>
          <w:u w:val="single"/>
          <w:shd w:fill="auto" w:val="clear"/>
        </w:rPr>
      </w:pPr>
    </w:p>
    <w:p>
      <w:pPr>
        <w:tabs>
          <w:tab w:val="left" w:pos="426" w:leader="none"/>
        </w:tabs>
        <w:spacing w:before="0" w:after="160" w:line="259"/>
        <w:ind w:right="0" w:left="0" w:firstLine="0"/>
        <w:jc w:val="both"/>
        <w:rPr>
          <w:rFonts w:ascii="Calibri Light" w:hAnsi="Calibri Light" w:cs="Calibri Light" w:eastAsia="Calibri Light"/>
          <w:i/>
          <w:color w:val="E1B937"/>
          <w:spacing w:val="0"/>
          <w:position w:val="0"/>
          <w:sz w:val="22"/>
          <w:shd w:fill="auto" w:val="clear"/>
        </w:rPr>
      </w:pPr>
      <w:r>
        <w:rPr>
          <w:rFonts w:ascii="Calibri Light" w:hAnsi="Calibri Light" w:cs="Calibri Light" w:eastAsia="Calibri Light"/>
          <w:b/>
          <w:color w:val="E1B937"/>
          <w:spacing w:val="0"/>
          <w:position w:val="0"/>
          <w:sz w:val="22"/>
          <w:shd w:fill="auto" w:val="clear"/>
        </w:rPr>
        <w:t xml:space="preserve">Primeira página - </w:t>
      </w:r>
      <w:r>
        <w:rPr>
          <w:rFonts w:ascii="Calibri Light" w:hAnsi="Calibri Light" w:cs="Calibri Light" w:eastAsia="Calibri Light"/>
          <w:b/>
          <w:color w:val="auto"/>
          <w:spacing w:val="0"/>
          <w:position w:val="0"/>
          <w:sz w:val="22"/>
          <w:shd w:fill="auto" w:val="clear"/>
        </w:rPr>
        <w:t xml:space="preserve">Vantagens e desvantagens da Avaliação da Conformidade</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A Avaliação da Conformidade é um extenso, complexo   e   poderoso instrumento   estratégico para o desenvolvimento das economias nacionais e internacionais. </w:t>
      </w:r>
    </w:p>
    <w:p>
      <w:pPr>
        <w:spacing w:before="0" w:after="160" w:line="259"/>
        <w:ind w:right="0" w:left="0" w:firstLine="0"/>
        <w:jc w:val="both"/>
        <w:rPr>
          <w:rFonts w:ascii="Calibri Light" w:hAnsi="Calibri Light" w:cs="Calibri Light" w:eastAsia="Calibri Light"/>
          <w:b/>
          <w:color w:val="000000"/>
          <w:spacing w:val="0"/>
          <w:position w:val="0"/>
          <w:sz w:val="22"/>
          <w:u w:val="single"/>
          <w:shd w:fill="auto" w:val="clear"/>
        </w:rPr>
      </w:pPr>
      <w:r>
        <w:rPr>
          <w:rFonts w:ascii="Calibri Light" w:hAnsi="Calibri Light" w:cs="Calibri Light" w:eastAsia="Calibri Light"/>
          <w:b/>
          <w:color w:val="000000"/>
          <w:spacing w:val="0"/>
          <w:position w:val="0"/>
          <w:sz w:val="22"/>
          <w:u w:val="single"/>
          <w:shd w:fill="auto" w:val="clear"/>
        </w:rPr>
        <w:t xml:space="preserve">Vaja os benefícios da Avaliação da Conformidade dentro de um contexto econômico.</w:t>
      </w:r>
    </w:p>
    <w:p>
      <w:pPr>
        <w:spacing w:before="0" w:after="160" w:line="259"/>
        <w:ind w:right="0" w:left="0" w:firstLine="0"/>
        <w:jc w:val="center"/>
        <w:rPr>
          <w:rFonts w:ascii="Calibri Light" w:hAnsi="Calibri Light" w:cs="Calibri Light" w:eastAsia="Calibri Light"/>
          <w:color w:val="auto"/>
          <w:spacing w:val="0"/>
          <w:position w:val="0"/>
          <w:sz w:val="22"/>
          <w:shd w:fill="auto" w:val="clear"/>
        </w:rPr>
      </w:pPr>
      <w:r>
        <w:object w:dxaOrig="4251" w:dyaOrig="4251">
          <v:rect xmlns:o="urn:schemas-microsoft-com:office:office" xmlns:v="urn:schemas-microsoft-com:vml" id="rectole0000000015" style="width:212.550000pt;height:212.5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15" ShapeID="rectole0000000015" r:id="docRId46"/>
        </w:object>
      </w:r>
      <w:hyperlink xmlns:r="http://schemas.openxmlformats.org/officeDocument/2006/relationships" r:id="docRId48">
        <w:r>
          <w:rPr>
            <w:rFonts w:ascii="Calibri Light" w:hAnsi="Calibri Light" w:cs="Calibri Light" w:eastAsia="Calibri Light"/>
            <w:color w:val="FF0000"/>
            <w:spacing w:val="0"/>
            <w:position w:val="0"/>
            <w:sz w:val="22"/>
            <w:u w:val="single"/>
            <w:shd w:fill="auto" w:val="clear"/>
          </w:rPr>
          <w:t xml:space="preserve">https://entib.org.br/entib/imagens/Ac_a01_115460566-[SETAS-CIRCULO].png</w:t>
        </w:r>
      </w:hyperlink>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b/>
          <w:color w:val="E1B937"/>
          <w:spacing w:val="0"/>
          <w:position w:val="0"/>
          <w:sz w:val="22"/>
          <w:shd w:fill="auto" w:val="clear"/>
        </w:rPr>
        <w:t xml:space="preserve">Segunda página - </w:t>
      </w:r>
      <w:r>
        <w:rPr>
          <w:rFonts w:ascii="Calibri Light" w:hAnsi="Calibri Light" w:cs="Calibri Light" w:eastAsia="Calibri Light"/>
          <w:b/>
          <w:color w:val="000000"/>
          <w:spacing w:val="0"/>
          <w:position w:val="0"/>
          <w:sz w:val="22"/>
          <w:u w:val="single"/>
          <w:shd w:fill="auto" w:val="clear"/>
        </w:rPr>
        <w:t xml:space="preserve">Vantagens para as empresas</w:t>
      </w:r>
      <w:r>
        <w:rPr>
          <w:rFonts w:ascii="Calibri Light" w:hAnsi="Calibri Light" w:cs="Calibri Light" w:eastAsia="Calibri Light"/>
          <w:color w:val="000000"/>
          <w:spacing w:val="0"/>
          <w:position w:val="0"/>
          <w:sz w:val="22"/>
          <w:u w:val="single"/>
          <w:shd w:fill="auto" w:val="clear"/>
        </w:rPr>
        <w:t xml:space="preserve">, a Avaliação da Conformidade induz à busca contínua da melhoria da qualidade. As empresas que se engajam neste movimento, orientam-se para assegurar a qualidade dos seus produtos, processos ou serviços, beneficiando-se com a melhoria da produtividade e aumento da competitividade, e tornando a concorrência mais justa, a medida em que indica claramente os produtos, processos ou serviços que atendem aos requisitos especificados.</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b/>
          <w:color w:val="E1B937"/>
          <w:spacing w:val="0"/>
          <w:position w:val="0"/>
          <w:sz w:val="22"/>
          <w:shd w:fill="auto" w:val="clear"/>
        </w:rPr>
        <w:t xml:space="preserve">Terceira página - </w:t>
      </w:r>
      <w:r>
        <w:rPr>
          <w:rFonts w:ascii="Calibri Light" w:hAnsi="Calibri Light" w:cs="Calibri Light" w:eastAsia="Calibri Light"/>
          <w:b/>
          <w:color w:val="000000"/>
          <w:spacing w:val="0"/>
          <w:position w:val="0"/>
          <w:sz w:val="22"/>
          <w:u w:val="single"/>
          <w:shd w:fill="auto" w:val="clear"/>
        </w:rPr>
        <w:t xml:space="preserve">No caso do Estado</w:t>
      </w:r>
      <w:r>
        <w:rPr>
          <w:rFonts w:ascii="Calibri Light" w:hAnsi="Calibri Light" w:cs="Calibri Light" w:eastAsia="Calibri Light"/>
          <w:color w:val="000000"/>
          <w:spacing w:val="0"/>
          <w:position w:val="0"/>
          <w:sz w:val="22"/>
          <w:u w:val="single"/>
          <w:shd w:fill="auto" w:val="clear"/>
        </w:rPr>
        <w:t xml:space="preserve">, a adoção da Avaliação da Conformidade, no âmbito compulsório, ou seja, obrigatório, é uma ferramenta que fortalece o poder regulatório das instituições públicas, sendo um instrumento eficiente de proteção à saúde e segurança do consumidor e ao meio ambiente.</w:t>
      </w:r>
    </w:p>
    <w:p>
      <w:pPr>
        <w:spacing w:before="0" w:after="160" w:line="259"/>
        <w:ind w:right="0" w:left="0" w:firstLine="0"/>
        <w:jc w:val="both"/>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E1B937"/>
          <w:spacing w:val="0"/>
          <w:position w:val="0"/>
          <w:sz w:val="22"/>
          <w:shd w:fill="auto" w:val="clear"/>
        </w:rPr>
        <w:t xml:space="preserve">Quarta página - </w:t>
      </w:r>
      <w:r>
        <w:rPr>
          <w:rFonts w:ascii="Calibri Light" w:hAnsi="Calibri Light" w:cs="Calibri Light" w:eastAsia="Calibri Light"/>
          <w:b/>
          <w:color w:val="auto"/>
          <w:spacing w:val="0"/>
          <w:position w:val="0"/>
          <w:sz w:val="22"/>
          <w:shd w:fill="auto" w:val="clear"/>
        </w:rPr>
        <w:t xml:space="preserve">O que o consumidor ganha com ela?</w:t>
      </w:r>
    </w:p>
    <w:p>
      <w:pPr>
        <w:spacing w:before="0" w:after="160" w:line="259"/>
        <w:ind w:right="0" w:left="0" w:firstLine="0"/>
        <w:jc w:val="both"/>
        <w:rPr>
          <w:rFonts w:ascii="Calibri Light" w:hAnsi="Calibri Light" w:cs="Calibri Light" w:eastAsia="Calibri Light"/>
          <w:color w:val="000000"/>
          <w:spacing w:val="0"/>
          <w:position w:val="0"/>
          <w:sz w:val="22"/>
          <w:shd w:fill="auto" w:val="clear"/>
        </w:rPr>
      </w:pPr>
      <w:r>
        <w:rPr>
          <w:rFonts w:ascii="Calibri Light" w:hAnsi="Calibri Light" w:cs="Calibri Light" w:eastAsia="Calibri Light"/>
          <w:color w:val="000000"/>
          <w:spacing w:val="0"/>
          <w:position w:val="0"/>
          <w:sz w:val="22"/>
          <w:u w:val="single"/>
          <w:shd w:fill="auto" w:val="clear"/>
        </w:rPr>
        <w:t xml:space="preserve">O   consumidor   também   beneficia- se   da   Avaliação   da Conformidade, uma vez que ela é um mecanismo que provê confiança aos consumidores de que os produtos, processos e serviços adquiridos são próprios para o uso a que se destinam e que não oferecem risco a sua saúde e segurança, tão pouco ao meio ambiente. Motivados pela confiança, alguns consumidores podem optar por produtos com a conformidade avaliada e aprovada.</w:t>
      </w:r>
    </w:p>
    <w:p>
      <w:pPr>
        <w:spacing w:before="0" w:after="160" w:line="259"/>
        <w:ind w:right="0" w:left="0" w:firstLine="0"/>
        <w:jc w:val="both"/>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E1B937"/>
          <w:spacing w:val="0"/>
          <w:position w:val="0"/>
          <w:sz w:val="22"/>
          <w:shd w:fill="auto" w:val="clear"/>
        </w:rPr>
        <w:t xml:space="preserve">Quinta página - </w:t>
      </w:r>
      <w:r>
        <w:rPr>
          <w:rFonts w:ascii="Calibri Light" w:hAnsi="Calibri Light" w:cs="Calibri Light" w:eastAsia="Calibri Light"/>
          <w:b/>
          <w:color w:val="auto"/>
          <w:spacing w:val="0"/>
          <w:position w:val="0"/>
          <w:sz w:val="22"/>
          <w:shd w:fill="auto" w:val="clear"/>
        </w:rPr>
        <w:t xml:space="preserve">Certo! Mas até agora só vimos vantagens... Existem desvantagens?</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As desvantagens ocorrem se a Avaliação da Conformidade for aplicada de forma incorreta. Nesse caso ela pode:</w:t>
      </w:r>
    </w:p>
    <w:p>
      <w:pPr>
        <w:numPr>
          <w:ilvl w:val="0"/>
          <w:numId w:val="68"/>
        </w:numPr>
        <w:spacing w:before="0" w:after="160" w:line="259"/>
        <w:ind w:right="0" w:left="720" w:hanging="36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Ser um fardo para as empresas;</w:t>
      </w:r>
    </w:p>
    <w:p>
      <w:pPr>
        <w:numPr>
          <w:ilvl w:val="0"/>
          <w:numId w:val="68"/>
        </w:numPr>
        <w:spacing w:before="0" w:after="160" w:line="259"/>
        <w:ind w:right="0" w:left="720" w:hanging="36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Criar barreiras ao comércio;</w:t>
      </w:r>
    </w:p>
    <w:p>
      <w:pPr>
        <w:numPr>
          <w:ilvl w:val="0"/>
          <w:numId w:val="68"/>
        </w:numPr>
        <w:spacing w:before="0" w:after="160" w:line="259"/>
        <w:ind w:right="0" w:left="720" w:hanging="36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Inibir a inovação;</w:t>
      </w:r>
    </w:p>
    <w:p>
      <w:pPr>
        <w:numPr>
          <w:ilvl w:val="0"/>
          <w:numId w:val="68"/>
        </w:numPr>
        <w:spacing w:before="0" w:after="160" w:line="259"/>
        <w:ind w:right="0" w:left="720" w:hanging="36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Confundir o mercado com a quantidade excessiva de marcas e marcações. </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numPr>
          <w:ilvl w:val="0"/>
          <w:numId w:val="70"/>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Você sabia que existem normas de controle de variedade dos produtos?</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object w:dxaOrig="3503" w:dyaOrig="2328">
          <v:rect xmlns:o="urn:schemas-microsoft-com:office:office" xmlns:v="urn:schemas-microsoft-com:vml" id="rectole0000000016" style="width:175.150000pt;height:116.40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16" ShapeID="rectole0000000016" r:id="docRId49"/>
        </w:object>
      </w:r>
      <w:r>
        <w:rPr>
          <w:rFonts w:ascii="Calibri Light" w:hAnsi="Calibri Light" w:cs="Calibri Light" w:eastAsia="Calibri Light"/>
          <w:color w:val="000000"/>
          <w:spacing w:val="0"/>
          <w:position w:val="0"/>
          <w:sz w:val="22"/>
          <w:u w:val="single"/>
          <w:shd w:fill="auto" w:val="clear"/>
        </w:rPr>
        <w:t xml:space="preserve">Essas normas tem o objetivo de limitar a diversidade de produtos, processos ou serviços, do mesmo tipo, oferecidos ao mercado.</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Isso facilita a vida dos clientes na escolha de um objeto de Avaliação da Conformidade, favorece a criação de economias em escala, e estabelece maior igualdade para as empresas concorrentes que buscam oferecer os melhores produtos, processos ou serviços, em conformidade com as normas técnicas.</w:t>
      </w:r>
    </w:p>
    <w:p>
      <w:pPr>
        <w:spacing w:before="0" w:after="160" w:line="259"/>
        <w:ind w:right="0" w:left="0" w:firstLine="0"/>
        <w:jc w:val="both"/>
        <w:rPr>
          <w:rFonts w:ascii="Calibri Light" w:hAnsi="Calibri Light" w:cs="Calibri Light" w:eastAsia="Calibri Light"/>
          <w:color w:val="FF0000"/>
          <w:spacing w:val="0"/>
          <w:position w:val="0"/>
          <w:sz w:val="22"/>
          <w:u w:val="single"/>
          <w:shd w:fill="auto" w:val="clear"/>
        </w:rPr>
      </w:pPr>
      <w:hyperlink xmlns:r="http://schemas.openxmlformats.org/officeDocument/2006/relationships" r:id="docRId51">
        <w:r>
          <w:rPr>
            <w:rFonts w:ascii="Calibri Light" w:hAnsi="Calibri Light" w:cs="Calibri Light" w:eastAsia="Calibri Light"/>
            <w:color w:val="0000FF"/>
            <w:spacing w:val="0"/>
            <w:position w:val="0"/>
            <w:sz w:val="22"/>
            <w:u w:val="single"/>
            <w:shd w:fill="auto" w:val="clear"/>
          </w:rPr>
          <w:t xml:space="preserve">https://entib.org.br/entib/imagens/AC_A01_importancia.jpg</w:t>
        </w:r>
      </w:hyperlink>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numPr>
          <w:ilvl w:val="0"/>
          <w:numId w:val="72"/>
        </w:numPr>
        <w:tabs>
          <w:tab w:val="left" w:pos="426" w:leader="none"/>
        </w:tabs>
        <w:spacing w:before="0" w:after="160" w:line="259"/>
        <w:ind w:right="0" w:left="0" w:firstLine="0"/>
        <w:jc w:val="left"/>
        <w:rPr>
          <w:rFonts w:ascii="Calibri Light" w:hAnsi="Calibri Light" w:cs="Calibri Light" w:eastAsia="Calibri Light"/>
          <w:b/>
          <w:color w:val="auto"/>
          <w:spacing w:val="0"/>
          <w:position w:val="0"/>
          <w:sz w:val="22"/>
          <w:shd w:fill="auto" w:val="clear"/>
        </w:rPr>
      </w:pPr>
      <w:r>
        <w:rPr>
          <w:rFonts w:ascii="Calibri Light" w:hAnsi="Calibri Light" w:cs="Calibri Light" w:eastAsia="Calibri Light"/>
          <w:b/>
          <w:color w:val="auto"/>
          <w:spacing w:val="0"/>
          <w:position w:val="0"/>
          <w:sz w:val="22"/>
          <w:shd w:fill="auto" w:val="clear"/>
        </w:rPr>
        <w:t xml:space="preserve">Você sabia que existem normas de controle de marcações nos produtos?</w:t>
      </w:r>
    </w:p>
    <w:p>
      <w:pPr>
        <w:spacing w:before="0" w:after="160" w:line="259"/>
        <w:ind w:right="0" w:left="0" w:firstLine="0"/>
        <w:jc w:val="both"/>
        <w:rPr>
          <w:rFonts w:ascii="Calibri Light" w:hAnsi="Calibri Light" w:cs="Calibri Light" w:eastAsia="Calibri Light"/>
          <w:color w:val="E1B937"/>
          <w:spacing w:val="0"/>
          <w:position w:val="0"/>
          <w:sz w:val="22"/>
          <w:u w:val="single"/>
          <w:shd w:fill="auto" w:val="clear"/>
        </w:rPr>
      </w:pPr>
      <w:r>
        <w:object w:dxaOrig="3199" w:dyaOrig="4373">
          <v:rect xmlns:o="urn:schemas-microsoft-com:office:office" xmlns:v="urn:schemas-microsoft-com:vml" id="rectole0000000017" style="width:159.950000pt;height:218.6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17" ShapeID="rectole0000000017" r:id="docRId52"/>
        </w:object>
      </w:r>
      <w:r>
        <w:rPr>
          <w:rFonts w:ascii="Calibri Light" w:hAnsi="Calibri Light" w:cs="Calibri Light" w:eastAsia="Calibri Light"/>
          <w:color w:val="E1B937"/>
          <w:spacing w:val="0"/>
          <w:position w:val="0"/>
          <w:sz w:val="22"/>
          <w:u w:val="single"/>
          <w:shd w:fill="auto" w:val="clear"/>
        </w:rPr>
        <w:t xml:space="preserve">Marco, fazer uma montagem com vários selos sobrepostos</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O excesso de marcações como etiquetas, selos e etc, pode acabar confundindo o consumidor ao invés de auxiliá-lo na escolha de um produto.</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r>
        <w:rPr>
          <w:rFonts w:ascii="Calibri Light" w:hAnsi="Calibri Light" w:cs="Calibri Light" w:eastAsia="Calibri Light"/>
          <w:color w:val="000000"/>
          <w:spacing w:val="0"/>
          <w:position w:val="0"/>
          <w:sz w:val="22"/>
          <w:u w:val="single"/>
          <w:shd w:fill="auto" w:val="clear"/>
        </w:rPr>
        <w:t xml:space="preserve">A "quantidade" de marcações não representa que o produto possua maior confiabilidade, representa apenas que ele possui um maior número de certificações, não necessariamente obrigatórias. Contudo, o consumidor pode associar uma coisa a outra e acabar sendo induzido a adquirir um produto por achar que ele é "melhor" do que outro e sabemos que isso pode não corresponder a realidade.</w:t>
      </w: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hyperlink xmlns:r="http://schemas.openxmlformats.org/officeDocument/2006/relationships" r:id="docRId54">
        <w:r>
          <w:rPr>
            <w:rFonts w:ascii="Calibri Light" w:hAnsi="Calibri Light" w:cs="Calibri Light" w:eastAsia="Calibri Light"/>
            <w:color w:val="0000FF"/>
            <w:spacing w:val="0"/>
            <w:position w:val="0"/>
            <w:sz w:val="22"/>
            <w:u w:val="single"/>
            <w:shd w:fill="auto" w:val="clear"/>
          </w:rPr>
          <w:t xml:space="preserve">http://www.inmetro.gov.br/imprensa/pdf/catalogo_marcas_selos_simbolos_etiquetas_v2.pdf</w:t>
        </w:r>
      </w:hyperlink>
    </w:p>
    <w:p>
      <w:pPr>
        <w:spacing w:before="0" w:after="160" w:line="259"/>
        <w:ind w:right="0" w:left="0" w:firstLine="0"/>
        <w:jc w:val="both"/>
        <w:rPr>
          <w:rFonts w:ascii="Calibri Light" w:hAnsi="Calibri Light" w:cs="Calibri Light" w:eastAsia="Calibri Light"/>
          <w:color w:val="000000"/>
          <w:spacing w:val="0"/>
          <w:position w:val="0"/>
          <w:sz w:val="22"/>
          <w:u w:val="single"/>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p>
      <w:pPr>
        <w:tabs>
          <w:tab w:val="left" w:pos="284" w:leader="none"/>
        </w:tabs>
        <w:spacing w:before="0" w:after="160" w:line="259"/>
        <w:ind w:right="0" w:left="0" w:firstLine="0"/>
        <w:jc w:val="left"/>
        <w:rPr>
          <w:rFonts w:ascii="Calibri Light" w:hAnsi="Calibri Light" w:cs="Calibri Light" w:eastAsia="Calibri Light"/>
          <w:b/>
          <w:color w:val="auto"/>
          <w:spacing w:val="0"/>
          <w:position w:val="0"/>
          <w:sz w:val="22"/>
          <w:shd w:fill="auto" w:val="clear"/>
        </w:rPr>
      </w:pPr>
    </w:p>
    <w:p>
      <w:pPr>
        <w:spacing w:before="0" w:after="160" w:line="259"/>
        <w:ind w:right="0" w:left="0" w:firstLine="0"/>
        <w:jc w:val="both"/>
        <w:rPr>
          <w:rFonts w:ascii="Calibri Light" w:hAnsi="Calibri Light" w:cs="Calibri Light" w:eastAsia="Calibri Light"/>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num w:numId="1">
    <w:abstractNumId w:val="108"/>
  </w:num>
  <w:num w:numId="3">
    <w:abstractNumId w:val="102"/>
  </w:num>
  <w:num w:numId="5">
    <w:abstractNumId w:val="96"/>
  </w:num>
  <w:num w:numId="8">
    <w:abstractNumId w:val="90"/>
  </w:num>
  <w:num w:numId="11">
    <w:abstractNumId w:val="84"/>
  </w:num>
  <w:num w:numId="13">
    <w:abstractNumId w:val="78"/>
  </w:num>
  <w:num w:numId="15">
    <w:abstractNumId w:val="72"/>
  </w:num>
  <w:num w:numId="45">
    <w:abstractNumId w:val="66"/>
  </w:num>
  <w:num w:numId="47">
    <w:abstractNumId w:val="60"/>
  </w:num>
  <w:num w:numId="49">
    <w:abstractNumId w:val="54"/>
  </w:num>
  <w:num w:numId="51">
    <w:abstractNumId w:val="48"/>
  </w:num>
  <w:num w:numId="53">
    <w:abstractNumId w:val="42"/>
  </w:num>
  <w:num w:numId="55">
    <w:abstractNumId w:val="36"/>
  </w:num>
  <w:num w:numId="57">
    <w:abstractNumId w:val="30"/>
  </w:num>
  <w:num w:numId="60">
    <w:abstractNumId w:val="24"/>
  </w:num>
  <w:num w:numId="62">
    <w:abstractNumId w:val="18"/>
  </w:num>
  <w:num w:numId="68">
    <w:abstractNumId w:val="12"/>
  </w:num>
  <w:num w:numId="70">
    <w:abstractNumId w:val="6"/>
  </w:num>
  <w:num w:numId="7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2.wmf" Id="docRId7" Type="http://schemas.openxmlformats.org/officeDocument/2006/relationships/image" /><Relationship TargetMode="External" Target="https://entib.org.br/ead/pluginfile.php/2820/mod_book/chapter/52/Piramide_rastreabilidade.jpg" Id="docRId14" Type="http://schemas.openxmlformats.org/officeDocument/2006/relationships/hyperlink" /><Relationship Target="embeddings/oleObject11.bin" Id="docRId34" Type="http://schemas.openxmlformats.org/officeDocument/2006/relationships/oleObject" /><Relationship Target="media/image15.wmf" Id="docRId47" Type="http://schemas.openxmlformats.org/officeDocument/2006/relationships/image" /><Relationship Target="numbering.xml" Id="docRId55" Type="http://schemas.openxmlformats.org/officeDocument/2006/relationships/numbering" /><Relationship Target="media/image7.wmf" Id="docRId22" Type="http://schemas.openxmlformats.org/officeDocument/2006/relationships/image" /><Relationship Target="embeddings/oleObject3.bin" Id="docRId9" Type="http://schemas.openxmlformats.org/officeDocument/2006/relationships/oleObject" /><Relationship TargetMode="External" Target="https://i1.wp.com/sensorweb.com.br/wp-content/uploads/2019/11/Header_dez_2019_calibracao.png?fit=845%2C684&amp;ssl=1" Id="docRId0" Type="http://schemas.openxmlformats.org/officeDocument/2006/relationships/hyperlink" /><Relationship Target="media/image9.wmf" Id="docRId29" Type="http://schemas.openxmlformats.org/officeDocument/2006/relationships/image" /><Relationship TargetMode="External" Target="https://entib.org.br/entib/imagens/shutterstock_220111951totojang1977.jpg" Id="docRId36" Type="http://schemas.openxmlformats.org/officeDocument/2006/relationships/hyperlink" /><Relationship Target="embeddings/oleObject16.bin" Id="docRId49" Type="http://schemas.openxmlformats.org/officeDocument/2006/relationships/oleObject" /><Relationship Target="media/image17.wmf" Id="docRId53" Type="http://schemas.openxmlformats.org/officeDocument/2006/relationships/image" /><Relationship Target="media/image4.wmf" Id="docRId13" Type="http://schemas.openxmlformats.org/officeDocument/2006/relationships/image" /><Relationship TargetMode="External" Target="https://entib.org.br/entib/imagens/Polegada-300px.jpg" Id="docRId20" Type="http://schemas.openxmlformats.org/officeDocument/2006/relationships/hyperlink" /><Relationship Target="embeddings/oleObject13.bin" Id="docRId40" Type="http://schemas.openxmlformats.org/officeDocument/2006/relationships/oleObject" /><Relationship Target="embeddings/oleObject6.bin" Id="docRId18" Type="http://schemas.openxmlformats.org/officeDocument/2006/relationships/oleObject" /><Relationship Target="media/image0.wmf" Id="docRId2" Type="http://schemas.openxmlformats.org/officeDocument/2006/relationships/image" /><Relationship Target="media/image12.wmf" Id="docRId38" Type="http://schemas.openxmlformats.org/officeDocument/2006/relationships/image" /><Relationship TargetMode="External" Target="https://entib.org.br/entib/imagens/AC_A01_importancia.jpg" Id="docRId51" Type="http://schemas.openxmlformats.org/officeDocument/2006/relationships/hyperlink" /><Relationship TargetMode="External" Target="https://entib.org.br/entib/imagens/PS_VME_A03_1_alvos_D.png" Id="docRId11" Type="http://schemas.openxmlformats.org/officeDocument/2006/relationships/hyperlink" /><Relationship TargetMode="External" Target="https://entib.org.br/ead/mod/book/view.php?id=2230&amp;chapterid=978" Id="docRId26" Type="http://schemas.openxmlformats.org/officeDocument/2006/relationships/hyperlink" /><Relationship Target="embeddings/oleObject10.bin" Id="docRId31" Type="http://schemas.openxmlformats.org/officeDocument/2006/relationships/oleObject" /><Relationship TargetMode="External" Target="https://entib.org.br/entib/imagens/shutterstock_1647823James-Steidl.jpg" Id="docRId42" Type="http://schemas.openxmlformats.org/officeDocument/2006/relationships/hyperlink" /><Relationship Target="styles.xml" Id="docRId56" Type="http://schemas.openxmlformats.org/officeDocument/2006/relationships/styles" /><Relationship Target="embeddings/oleObject5.bin" Id="docRId16" Type="http://schemas.openxmlformats.org/officeDocument/2006/relationships/oleObject" /><Relationship Target="media/image8.wmf" Id="docRId25" Type="http://schemas.openxmlformats.org/officeDocument/2006/relationships/image" /><Relationship Target="media/image10.wmf" Id="docRId32" Type="http://schemas.openxmlformats.org/officeDocument/2006/relationships/image" /><Relationship Target="media/image1.wmf" Id="docRId4" Type="http://schemas.openxmlformats.org/officeDocument/2006/relationships/image" /><Relationship TargetMode="External" Target="https://entib.org.br/entib/imagens/Vectomart.jpg" Id="docRId45" Type="http://schemas.openxmlformats.org/officeDocument/2006/relationships/hyperlink" /><Relationship Target="media/image5.wmf" Id="docRId17" Type="http://schemas.openxmlformats.org/officeDocument/2006/relationships/image" /><Relationship Target="embeddings/oleObject8.bin" Id="docRId24" Type="http://schemas.openxmlformats.org/officeDocument/2006/relationships/oleObject" /><Relationship TargetMode="External" Target="https://static.wixstatic.com/media/7fe449_97b5d19df8544f32860a2ef59ad9f654~mv2.jpg/v1/fill/w_284,h_410,al_c,q_80,usm_0.66_1.00_0.01/7fe449_97b5d19df8544f32860a2ef59ad9f654~mv2.webp" Id="docRId33" Type="http://schemas.openxmlformats.org/officeDocument/2006/relationships/hyperlink" /><Relationship Target="media/image14.wmf" Id="docRId44" Type="http://schemas.openxmlformats.org/officeDocument/2006/relationships/image" /><Relationship TargetMode="External" Target="http://www.inmetro.gov.br/imprensa/pdf/catalogo_marcas_selos_simbolos_etiquetas_v2.pdf" Id="docRId54" Type="http://schemas.openxmlformats.org/officeDocument/2006/relationships/hyperlink" /><Relationship TargetMode="External" Target="https://entib.org.br/ead/mod/book/view.php?id=1845&amp;chapterid=241" Id="docRId23" Type="http://schemas.openxmlformats.org/officeDocument/2006/relationships/hyperlink" /><Relationship Target="embeddings/oleObject2.bin" Id="docRId6" Type="http://schemas.openxmlformats.org/officeDocument/2006/relationships/oleObject" /><Relationship Target="embeddings/oleObject0.bin" Id="docRId1" Type="http://schemas.openxmlformats.org/officeDocument/2006/relationships/oleObject" /><Relationship TargetMode="External" Target="https://news.certifee.com.br/img/artigos/5ee12f0571bbc.png" Id="docRId15" Type="http://schemas.openxmlformats.org/officeDocument/2006/relationships/hyperlink" /><Relationship Target="media/image11.wmf" Id="docRId35" Type="http://schemas.openxmlformats.org/officeDocument/2006/relationships/image" /><Relationship Target="embeddings/oleObject15.bin" Id="docRId46" Type="http://schemas.openxmlformats.org/officeDocument/2006/relationships/oleObject" /><Relationship Target="embeddings/oleObject17.bin" Id="docRId52" Type="http://schemas.openxmlformats.org/officeDocument/2006/relationships/oleObject" /><Relationship Target="embeddings/oleObject4.bin" Id="docRId12" Type="http://schemas.openxmlformats.org/officeDocument/2006/relationships/oleObject" /><Relationship Target="embeddings/oleObject7.bin" Id="docRId21" Type="http://schemas.openxmlformats.org/officeDocument/2006/relationships/oleObject" /><Relationship Target="media/image13.wmf" Id="docRId41" Type="http://schemas.openxmlformats.org/officeDocument/2006/relationships/image" /><Relationship TargetMode="External" Target="https://entib.org.br/entib/imagens/PS_VME_A03_1_alvos_B.png" Id="docRId8" Type="http://schemas.openxmlformats.org/officeDocument/2006/relationships/hyperlink" /><Relationship Target="embeddings/oleObject9.bin" Id="docRId28" Type="http://schemas.openxmlformats.org/officeDocument/2006/relationships/oleObject" /><Relationship Target="embeddings/oleObject1.bin" Id="docRId3" Type="http://schemas.openxmlformats.org/officeDocument/2006/relationships/oleObject" /><Relationship Target="embeddings/oleObject12.bin" Id="docRId37" Type="http://schemas.openxmlformats.org/officeDocument/2006/relationships/oleObject" /><Relationship TargetMode="External" Target="https://entib.org.br/entib/imagens/Ac_a01_115460566-%5BSETAS-CIRCULO%5D.png" Id="docRId48" Type="http://schemas.openxmlformats.org/officeDocument/2006/relationships/hyperlink" /><Relationship Target="media/image16.wmf" Id="docRId50" Type="http://schemas.openxmlformats.org/officeDocument/2006/relationships/image" /><Relationship Target="media/image3.wmf" Id="docRId10" Type="http://schemas.openxmlformats.org/officeDocument/2006/relationships/image" /><Relationship TargetMode="External" Target="https://prodsaude.entib.org.br/prodsaude/imagens/Acreditacao.PNG" Id="docRId27" Type="http://schemas.openxmlformats.org/officeDocument/2006/relationships/hyperlink" /><Relationship TargetMode="External" Target="https://prodsaude.entib.org.br/prodsaude/imagens/15189_A01_t02_PDCA.jpg" Id="docRId30" Type="http://schemas.openxmlformats.org/officeDocument/2006/relationships/hyperlink" /><Relationship Target="embeddings/oleObject14.bin" Id="docRId43" Type="http://schemas.openxmlformats.org/officeDocument/2006/relationships/oleObject" /><Relationship Target="media/image6.wmf" Id="docRId19" Type="http://schemas.openxmlformats.org/officeDocument/2006/relationships/image" /><Relationship TargetMode="External" Target="https://entib.org.br/entib/imagens/shutterstock_83205517_Christian-Lagerek.jpg" Id="docRId39" Type="http://schemas.openxmlformats.org/officeDocument/2006/relationships/hyperlink" /><Relationship TargetMode="External" Target="https://entib.org.br/entib/imagens/PS_VME_A03_1_alvos_C.png" Id="docRId5" Type="http://schemas.openxmlformats.org/officeDocument/2006/relationships/hyperlink" /></Relationships>
</file>