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80416E" w14:textId="4B44053B" w:rsidR="00152AFD" w:rsidRPr="003E0DC5" w:rsidRDefault="00F90DF0" w:rsidP="003E0DC5">
      <w:pPr>
        <w:spacing w:after="0" w:line="360" w:lineRule="auto"/>
        <w:jc w:val="both"/>
        <w:rPr>
          <w:rFonts w:asciiTheme="majorHAnsi" w:hAnsiTheme="majorHAnsi" w:cstheme="majorHAnsi"/>
        </w:rPr>
      </w:pPr>
      <w:r w:rsidRPr="00F90DF0">
        <w:rPr>
          <w:rFonts w:asciiTheme="majorHAnsi" w:eastAsia="Times New Roman" w:hAnsiTheme="majorHAnsi" w:cstheme="majorHAnsi"/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pt-BR"/>
        </w:rPr>
        <w:drawing>
          <wp:anchor distT="0" distB="0" distL="114300" distR="114300" simplePos="0" relativeHeight="251678720" behindDoc="1" locked="0" layoutInCell="1" allowOverlap="1" wp14:anchorId="39E8C608" wp14:editId="68DB6B6B">
            <wp:simplePos x="0" y="0"/>
            <wp:positionH relativeFrom="column">
              <wp:posOffset>-1080136</wp:posOffset>
            </wp:positionH>
            <wp:positionV relativeFrom="paragraph">
              <wp:posOffset>-900430</wp:posOffset>
            </wp:positionV>
            <wp:extent cx="7567897" cy="10668000"/>
            <wp:effectExtent l="0" t="0" r="0" b="0"/>
            <wp:wrapNone/>
            <wp:docPr id="8" name="Imagem 8" descr="C:\Users\Aline\Google Drive\2 - Projeto Entib - Google Drive\Capas novas Entib\Certificação Anvisa\CAPA_apostila_RISC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Google Drive\2 - Projeto Entib - Google Drive\Capas novas Entib\Certificação Anvisa\CAPA_apostila_RISC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67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1D6" w:rsidRPr="003E0DC5">
        <w:rPr>
          <w:rFonts w:asciiTheme="majorHAnsi" w:eastAsia="Times New Roman" w:hAnsiTheme="majorHAnsi" w:cstheme="maj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E5AE78F" w14:textId="77777777" w:rsidR="00152AFD" w:rsidRPr="003E0DC5" w:rsidRDefault="00152AFD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79975B0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25449623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3409534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FA8D995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BB02656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FBB78CC" w14:textId="48077C95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61615DC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8515431" w14:textId="77777777" w:rsidR="007D3A74" w:rsidRPr="003E0DC5" w:rsidRDefault="007D3A74" w:rsidP="003E0DC5">
      <w:pPr>
        <w:spacing w:after="0" w:line="360" w:lineRule="auto"/>
        <w:jc w:val="center"/>
        <w:rPr>
          <w:rFonts w:asciiTheme="majorHAnsi" w:hAnsiTheme="majorHAnsi" w:cstheme="majorHAnsi"/>
        </w:rPr>
      </w:pPr>
    </w:p>
    <w:p w14:paraId="0317A948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DC5DB97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A85FEAE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1884D5A" w14:textId="225E74D3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50C3E00" w14:textId="66EEAA6C" w:rsidR="007D3A74" w:rsidRPr="003E0DC5" w:rsidRDefault="00DA62D9" w:rsidP="003E0DC5">
      <w:pPr>
        <w:tabs>
          <w:tab w:val="left" w:pos="2385"/>
        </w:tabs>
        <w:spacing w:after="0" w:line="360" w:lineRule="auto"/>
        <w:jc w:val="both"/>
        <w:rPr>
          <w:rFonts w:asciiTheme="majorHAnsi" w:hAnsiTheme="majorHAnsi" w:cstheme="majorHAnsi"/>
        </w:rPr>
      </w:pPr>
      <w:r w:rsidRPr="003E0DC5">
        <w:rPr>
          <w:rFonts w:asciiTheme="majorHAnsi" w:hAnsiTheme="majorHAnsi" w:cstheme="majorHAnsi"/>
        </w:rPr>
        <w:tab/>
      </w:r>
    </w:p>
    <w:p w14:paraId="51B36AB4" w14:textId="2386ED09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B115A06" w14:textId="6EE6D52E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3B781D5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1FC805B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ED4CA78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4684C44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042A20C" w14:textId="77777777" w:rsidR="007D3A74" w:rsidRPr="003E0DC5" w:rsidRDefault="007D3A74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3BFF38C" w14:textId="77777777" w:rsidR="00333251" w:rsidRPr="003E0DC5" w:rsidRDefault="00333251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DEC20D8" w14:textId="77777777" w:rsidR="00AE57C8" w:rsidRPr="003E0DC5" w:rsidRDefault="00AE57C8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5EF0512" w14:textId="77777777" w:rsidR="00333251" w:rsidRPr="003E0DC5" w:rsidRDefault="00333251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74B80B0" w14:textId="77777777" w:rsidR="006F5DE6" w:rsidRPr="003E0DC5" w:rsidRDefault="006F5DE6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7582945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C34280B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7F0D7BB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D910170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EF12418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40270AE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2CA99363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087FE15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C2B192F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C720AB3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E114653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7C3BB10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AEC37A5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231F7ED3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A511BE1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sdt>
      <w:sdtPr>
        <w:rPr>
          <w:rFonts w:asciiTheme="majorHAnsi" w:hAnsiTheme="majorHAnsi" w:cstheme="majorHAnsi"/>
          <w:b/>
          <w:i/>
          <w:iCs/>
        </w:rPr>
        <w:id w:val="-2064943087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14:paraId="71E9E033" w14:textId="77777777" w:rsidR="000C6ABB" w:rsidRPr="003E0DC5" w:rsidRDefault="000C6ABB" w:rsidP="003E0DC5">
          <w:pPr>
            <w:spacing w:after="0" w:line="360" w:lineRule="auto"/>
            <w:jc w:val="center"/>
            <w:rPr>
              <w:rFonts w:asciiTheme="majorHAnsi" w:hAnsiTheme="majorHAnsi" w:cstheme="majorHAnsi"/>
            </w:rPr>
          </w:pPr>
          <w:r w:rsidRPr="001375FB">
            <w:rPr>
              <w:rFonts w:asciiTheme="majorHAnsi" w:hAnsiTheme="majorHAnsi" w:cstheme="majorHAnsi"/>
              <w:b/>
              <w:color w:val="0066B2" w:themeColor="accent1"/>
              <w:sz w:val="32"/>
              <w:szCs w:val="32"/>
            </w:rPr>
            <w:t>Sumário</w:t>
          </w:r>
        </w:p>
        <w:p w14:paraId="6AD50C0E" w14:textId="3FE63233" w:rsidR="00943497" w:rsidRPr="003E0DC5" w:rsidRDefault="00943497" w:rsidP="003E0DC5">
          <w:pPr>
            <w:spacing w:after="0" w:line="360" w:lineRule="auto"/>
            <w:jc w:val="both"/>
            <w:rPr>
              <w:rFonts w:asciiTheme="majorHAnsi" w:hAnsiTheme="majorHAnsi" w:cstheme="majorHAnsi"/>
            </w:rPr>
          </w:pPr>
        </w:p>
        <w:p w14:paraId="344B0508" w14:textId="77777777" w:rsidR="000C6ABB" w:rsidRPr="003E0DC5" w:rsidRDefault="000C6ABB" w:rsidP="003E0DC5">
          <w:pPr>
            <w:spacing w:after="0" w:line="360" w:lineRule="auto"/>
            <w:jc w:val="both"/>
            <w:rPr>
              <w:rFonts w:asciiTheme="majorHAnsi" w:hAnsiTheme="majorHAnsi" w:cstheme="majorHAnsi"/>
            </w:rPr>
          </w:pPr>
        </w:p>
        <w:p w14:paraId="33B5119D" w14:textId="77777777" w:rsidR="005E5FFB" w:rsidRDefault="000C6ABB">
          <w:pPr>
            <w:pStyle w:val="Sumrio1"/>
            <w:rPr>
              <w:rFonts w:eastAsiaTheme="minorEastAsia"/>
              <w:b w:val="0"/>
              <w:lang w:eastAsia="pt-BR"/>
            </w:rPr>
          </w:pPr>
          <w:r w:rsidRPr="003E0DC5">
            <w:rPr>
              <w:rFonts w:asciiTheme="majorHAnsi" w:hAnsiTheme="majorHAnsi" w:cstheme="majorHAnsi"/>
            </w:rPr>
            <w:fldChar w:fldCharType="begin"/>
          </w:r>
          <w:r w:rsidRPr="003E0DC5">
            <w:rPr>
              <w:rFonts w:asciiTheme="majorHAnsi" w:hAnsiTheme="majorHAnsi" w:cstheme="majorHAnsi"/>
            </w:rPr>
            <w:instrText xml:space="preserve"> TOC \o "1-3" \h \z \u </w:instrText>
          </w:r>
          <w:r w:rsidRPr="003E0DC5">
            <w:rPr>
              <w:rFonts w:asciiTheme="majorHAnsi" w:hAnsiTheme="majorHAnsi" w:cstheme="majorHAnsi"/>
            </w:rPr>
            <w:fldChar w:fldCharType="separate"/>
          </w:r>
          <w:hyperlink w:anchor="_Toc517895076" w:history="1">
            <w:r w:rsidR="005E5FFB" w:rsidRPr="004C1C23">
              <w:rPr>
                <w:rStyle w:val="Hyperlink"/>
                <w:rFonts w:asciiTheme="majorHAnsi" w:hAnsiTheme="majorHAnsi" w:cstheme="majorHAnsi"/>
              </w:rPr>
              <w:t>1 -</w:t>
            </w:r>
            <w:r w:rsidR="005E5FFB">
              <w:rPr>
                <w:rFonts w:eastAsiaTheme="minorEastAsia"/>
                <w:b w:val="0"/>
                <w:lang w:eastAsia="pt-BR"/>
              </w:rPr>
              <w:tab/>
            </w:r>
            <w:r w:rsidR="005E5FFB" w:rsidRPr="004C1C23">
              <w:rPr>
                <w:rStyle w:val="Hyperlink"/>
                <w:rFonts w:asciiTheme="majorHAnsi" w:hAnsiTheme="majorHAnsi" w:cstheme="majorHAnsi"/>
              </w:rPr>
              <w:t>Normas aplicáveis na certificação de produtos</w:t>
            </w:r>
            <w:r w:rsidR="005E5FFB">
              <w:rPr>
                <w:webHidden/>
              </w:rPr>
              <w:tab/>
            </w:r>
            <w:r w:rsidR="005E5FFB">
              <w:rPr>
                <w:webHidden/>
              </w:rPr>
              <w:fldChar w:fldCharType="begin"/>
            </w:r>
            <w:r w:rsidR="005E5FFB">
              <w:rPr>
                <w:webHidden/>
              </w:rPr>
              <w:instrText xml:space="preserve"> PAGEREF _Toc517895076 \h </w:instrText>
            </w:r>
            <w:r w:rsidR="005E5FFB">
              <w:rPr>
                <w:webHidden/>
              </w:rPr>
            </w:r>
            <w:r w:rsidR="005E5FFB">
              <w:rPr>
                <w:webHidden/>
              </w:rPr>
              <w:fldChar w:fldCharType="separate"/>
            </w:r>
            <w:r w:rsidR="001375FB">
              <w:rPr>
                <w:webHidden/>
              </w:rPr>
              <w:t>4</w:t>
            </w:r>
            <w:r w:rsidR="005E5FFB">
              <w:rPr>
                <w:webHidden/>
              </w:rPr>
              <w:fldChar w:fldCharType="end"/>
            </w:r>
          </w:hyperlink>
        </w:p>
        <w:p w14:paraId="44717A65" w14:textId="77777777" w:rsidR="005E5FFB" w:rsidRDefault="008F55C7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7895077" w:history="1">
            <w:r w:rsidR="005E5FFB" w:rsidRPr="004C1C23">
              <w:rPr>
                <w:rStyle w:val="Hyperlink"/>
                <w:rFonts w:asciiTheme="majorHAnsi" w:hAnsiTheme="majorHAnsi" w:cstheme="majorHAnsi"/>
              </w:rPr>
              <w:t>2 -</w:t>
            </w:r>
            <w:r w:rsidR="005E5FFB">
              <w:rPr>
                <w:rFonts w:eastAsiaTheme="minorEastAsia"/>
                <w:b w:val="0"/>
                <w:lang w:eastAsia="pt-BR"/>
              </w:rPr>
              <w:tab/>
            </w:r>
            <w:r w:rsidR="005E5FFB" w:rsidRPr="004C1C23">
              <w:rPr>
                <w:rStyle w:val="Hyperlink"/>
                <w:rFonts w:asciiTheme="majorHAnsi" w:hAnsiTheme="majorHAnsi" w:cstheme="majorHAnsi"/>
              </w:rPr>
              <w:t>Harmonização de critérios com outros países e benefícios da Normalização</w:t>
            </w:r>
            <w:r w:rsidR="005E5FFB">
              <w:rPr>
                <w:webHidden/>
              </w:rPr>
              <w:tab/>
            </w:r>
            <w:r w:rsidR="005E5FFB">
              <w:rPr>
                <w:webHidden/>
              </w:rPr>
              <w:fldChar w:fldCharType="begin"/>
            </w:r>
            <w:r w:rsidR="005E5FFB">
              <w:rPr>
                <w:webHidden/>
              </w:rPr>
              <w:instrText xml:space="preserve"> PAGEREF _Toc517895077 \h </w:instrText>
            </w:r>
            <w:r w:rsidR="005E5FFB">
              <w:rPr>
                <w:webHidden/>
              </w:rPr>
            </w:r>
            <w:r w:rsidR="005E5FFB">
              <w:rPr>
                <w:webHidden/>
              </w:rPr>
              <w:fldChar w:fldCharType="separate"/>
            </w:r>
            <w:r w:rsidR="001375FB">
              <w:rPr>
                <w:webHidden/>
              </w:rPr>
              <w:t>7</w:t>
            </w:r>
            <w:r w:rsidR="005E5FFB">
              <w:rPr>
                <w:webHidden/>
              </w:rPr>
              <w:fldChar w:fldCharType="end"/>
            </w:r>
          </w:hyperlink>
        </w:p>
        <w:p w14:paraId="50713DAC" w14:textId="77777777" w:rsidR="005E5FFB" w:rsidRDefault="008F55C7">
          <w:pPr>
            <w:pStyle w:val="Sumrio1"/>
            <w:rPr>
              <w:rFonts w:eastAsiaTheme="minorEastAsia"/>
              <w:b w:val="0"/>
              <w:lang w:eastAsia="pt-BR"/>
            </w:rPr>
          </w:pPr>
          <w:hyperlink w:anchor="_Toc517895078" w:history="1">
            <w:r w:rsidR="005E5FFB" w:rsidRPr="004C1C23">
              <w:rPr>
                <w:rStyle w:val="Hyperlink"/>
                <w:rFonts w:asciiTheme="majorHAnsi" w:hAnsiTheme="majorHAnsi" w:cstheme="majorHAnsi"/>
              </w:rPr>
              <w:t>3 -</w:t>
            </w:r>
            <w:r w:rsidR="005E5FFB">
              <w:rPr>
                <w:rFonts w:eastAsiaTheme="minorEastAsia"/>
                <w:b w:val="0"/>
                <w:lang w:eastAsia="pt-BR"/>
              </w:rPr>
              <w:tab/>
            </w:r>
            <w:r w:rsidR="005E5FFB" w:rsidRPr="004C1C23">
              <w:rPr>
                <w:rStyle w:val="Hyperlink"/>
                <w:rFonts w:asciiTheme="majorHAnsi" w:hAnsiTheme="majorHAnsi" w:cstheme="majorHAnsi"/>
              </w:rPr>
              <w:t>Papel das entidades normalizadoras no processo de avaliação da conformidade</w:t>
            </w:r>
            <w:r w:rsidR="005E5FFB">
              <w:rPr>
                <w:webHidden/>
              </w:rPr>
              <w:tab/>
            </w:r>
            <w:r w:rsidR="005E5FFB">
              <w:rPr>
                <w:webHidden/>
              </w:rPr>
              <w:fldChar w:fldCharType="begin"/>
            </w:r>
            <w:r w:rsidR="005E5FFB">
              <w:rPr>
                <w:webHidden/>
              </w:rPr>
              <w:instrText xml:space="preserve"> PAGEREF _Toc517895078 \h </w:instrText>
            </w:r>
            <w:r w:rsidR="005E5FFB">
              <w:rPr>
                <w:webHidden/>
              </w:rPr>
            </w:r>
            <w:r w:rsidR="005E5FFB">
              <w:rPr>
                <w:webHidden/>
              </w:rPr>
              <w:fldChar w:fldCharType="separate"/>
            </w:r>
            <w:r w:rsidR="001375FB">
              <w:rPr>
                <w:webHidden/>
              </w:rPr>
              <w:t>10</w:t>
            </w:r>
            <w:r w:rsidR="005E5FFB">
              <w:rPr>
                <w:webHidden/>
              </w:rPr>
              <w:fldChar w:fldCharType="end"/>
            </w:r>
          </w:hyperlink>
        </w:p>
        <w:p w14:paraId="4B195646" w14:textId="712E7862" w:rsidR="000C6ABB" w:rsidRPr="003E0DC5" w:rsidRDefault="000C6ABB" w:rsidP="003E0DC5">
          <w:pPr>
            <w:spacing w:after="0" w:line="360" w:lineRule="auto"/>
            <w:jc w:val="both"/>
            <w:rPr>
              <w:rFonts w:asciiTheme="majorHAnsi" w:hAnsiTheme="majorHAnsi" w:cstheme="majorHAnsi"/>
              <w:bCs/>
              <w:i/>
              <w:iCs/>
            </w:rPr>
          </w:pPr>
          <w:r w:rsidRPr="003E0DC5">
            <w:rPr>
              <w:rFonts w:asciiTheme="majorHAnsi" w:hAnsiTheme="majorHAnsi" w:cstheme="majorHAnsi"/>
              <w:b/>
              <w:bCs/>
            </w:rPr>
            <w:fldChar w:fldCharType="end"/>
          </w:r>
        </w:p>
      </w:sdtContent>
    </w:sdt>
    <w:p w14:paraId="7AD9A7FD" w14:textId="5914BA44" w:rsidR="001F2339" w:rsidRPr="003E0DC5" w:rsidRDefault="001F2339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326E624" w14:textId="77777777" w:rsidR="006B3310" w:rsidRPr="003E0DC5" w:rsidRDefault="006B3310" w:rsidP="003E0DC5">
      <w:pPr>
        <w:spacing w:after="0" w:line="360" w:lineRule="auto"/>
        <w:jc w:val="both"/>
        <w:rPr>
          <w:rFonts w:asciiTheme="majorHAnsi" w:hAnsiTheme="majorHAnsi" w:cstheme="majorHAnsi"/>
        </w:rPr>
      </w:pPr>
      <w:bookmarkStart w:id="0" w:name="_Toc462045956"/>
    </w:p>
    <w:p w14:paraId="3657D90E" w14:textId="77777777" w:rsidR="006B3310" w:rsidRPr="003E0DC5" w:rsidRDefault="006B3310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32ED02A" w14:textId="77777777" w:rsidR="006B3310" w:rsidRPr="003E0DC5" w:rsidRDefault="006B3310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A30E5CA" w14:textId="77777777" w:rsidR="00DE2EEA" w:rsidRPr="003E0DC5" w:rsidRDefault="00DE2EEA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40E0E5C" w14:textId="77777777" w:rsidR="00DE2EEA" w:rsidRPr="003E0DC5" w:rsidRDefault="00DE2EEA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A49BD16" w14:textId="77777777" w:rsidR="00DE2EEA" w:rsidRPr="003E0DC5" w:rsidRDefault="00DE2EEA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bookmarkEnd w:id="0"/>
    <w:p w14:paraId="5880886F" w14:textId="77777777" w:rsidR="00333251" w:rsidRPr="003E0DC5" w:rsidRDefault="00333251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55FF00EF" w14:textId="77777777" w:rsidR="00333251" w:rsidRPr="003E0DC5" w:rsidRDefault="00333251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6B4D682" w14:textId="77777777" w:rsidR="00AE57C8" w:rsidRPr="003E0DC5" w:rsidRDefault="00AE57C8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7C2710A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9777C46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77E77C24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069274E1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3B9AA2B2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36606107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2A7725A2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37EB7465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5EDD178A" w14:textId="77777777" w:rsidR="003E0DC5" w:rsidRPr="003E0DC5" w:rsidRDefault="003E0DC5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1296237A" w14:textId="77777777" w:rsidR="00AE57C8" w:rsidRDefault="00AE57C8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2357C62E" w14:textId="77777777" w:rsidR="005E5FFB" w:rsidRPr="003E0DC5" w:rsidRDefault="005E5FFB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24DBC8AD" w14:textId="77777777" w:rsidR="00AE57C8" w:rsidRPr="003E0DC5" w:rsidRDefault="00AE57C8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</w:p>
    <w:p w14:paraId="4F8AC95E" w14:textId="77777777" w:rsidR="00B17BC7" w:rsidRDefault="00B17BC7" w:rsidP="003E0DC5">
      <w:pPr>
        <w:spacing w:after="0" w:line="360" w:lineRule="auto"/>
        <w:jc w:val="center"/>
        <w:rPr>
          <w:rFonts w:asciiTheme="majorHAnsi" w:hAnsiTheme="majorHAnsi" w:cstheme="majorHAnsi"/>
          <w:b/>
          <w:color w:val="C00000"/>
          <w:sz w:val="32"/>
          <w:szCs w:val="32"/>
        </w:rPr>
      </w:pPr>
      <w:r w:rsidRPr="001375FB">
        <w:rPr>
          <w:rFonts w:asciiTheme="majorHAnsi" w:hAnsiTheme="majorHAnsi" w:cstheme="majorHAnsi"/>
          <w:b/>
          <w:color w:val="0066B2" w:themeColor="accent1"/>
          <w:sz w:val="32"/>
          <w:szCs w:val="32"/>
        </w:rPr>
        <w:t>Apresentação</w:t>
      </w:r>
    </w:p>
    <w:p w14:paraId="35C41F58" w14:textId="77777777" w:rsidR="005A707C" w:rsidRPr="003E0DC5" w:rsidRDefault="005A707C" w:rsidP="003E0DC5">
      <w:pPr>
        <w:spacing w:after="0" w:line="360" w:lineRule="auto"/>
        <w:jc w:val="center"/>
        <w:rPr>
          <w:rFonts w:asciiTheme="majorHAnsi" w:hAnsiTheme="majorHAnsi" w:cstheme="majorHAnsi"/>
        </w:rPr>
      </w:pPr>
    </w:p>
    <w:p w14:paraId="1A5BF19E" w14:textId="77777777" w:rsidR="00B17BC7" w:rsidRPr="003E0DC5" w:rsidRDefault="00B17BC7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98A976D" w14:textId="6CB3B93E" w:rsidR="005A707C" w:rsidRPr="005A707C" w:rsidRDefault="005A707C" w:rsidP="005A707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5A707C">
        <w:rPr>
          <w:rFonts w:asciiTheme="majorHAnsi" w:hAnsiTheme="majorHAnsi" w:cstheme="majorHAnsi"/>
          <w:bCs/>
        </w:rPr>
        <w:t xml:space="preserve">Sejam muito bem-vindos à </w:t>
      </w:r>
      <w:r>
        <w:rPr>
          <w:rFonts w:asciiTheme="majorHAnsi" w:hAnsiTheme="majorHAnsi" w:cstheme="majorHAnsi"/>
          <w:bCs/>
        </w:rPr>
        <w:t>quarta</w:t>
      </w:r>
      <w:r w:rsidRPr="005A707C">
        <w:rPr>
          <w:rFonts w:asciiTheme="majorHAnsi" w:hAnsiTheme="majorHAnsi" w:cstheme="majorHAnsi"/>
          <w:bCs/>
        </w:rPr>
        <w:t xml:space="preserve"> aula do curso de Certificação de produtos para a saúde – Anvisa!</w:t>
      </w:r>
    </w:p>
    <w:p w14:paraId="14DFF8E8" w14:textId="77777777" w:rsidR="005A707C" w:rsidRPr="005A707C" w:rsidRDefault="005A707C" w:rsidP="005A707C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1C0F930" w14:textId="32639B96" w:rsidR="005A707C" w:rsidRDefault="005A707C" w:rsidP="00F74C22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Na aula passada </w:t>
      </w:r>
      <w:r w:rsidRPr="005A707C">
        <w:rPr>
          <w:rFonts w:asciiTheme="majorHAnsi" w:hAnsiTheme="majorHAnsi" w:cstheme="majorHAnsi"/>
          <w:bCs/>
        </w:rPr>
        <w:t xml:space="preserve">apresentamos </w:t>
      </w:r>
      <w:r>
        <w:rPr>
          <w:rFonts w:asciiTheme="majorHAnsi" w:hAnsiTheme="majorHAnsi" w:cstheme="majorHAnsi"/>
          <w:bCs/>
        </w:rPr>
        <w:t xml:space="preserve">os </w:t>
      </w:r>
      <w:r w:rsidRPr="005A707C">
        <w:rPr>
          <w:rFonts w:asciiTheme="majorHAnsi" w:hAnsiTheme="majorHAnsi" w:cstheme="majorHAnsi"/>
          <w:bCs/>
        </w:rPr>
        <w:t>conceitos sobre os organismos que participam do processo de avaliação da conformidade na área da Saúde. Abordamos também, as principais características que compõem a atuação dos agentes envolvidos neste processo.</w:t>
      </w:r>
    </w:p>
    <w:p w14:paraId="32549F36" w14:textId="77777777" w:rsidR="005A707C" w:rsidRDefault="005A707C" w:rsidP="00E2336E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C87F746" w14:textId="77777777" w:rsid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Nesta aula veremos conceitos relacionados com Normalização e Certificação na área da saúde. Vamos apresentar as principais normas e como elas podem influenciar o processo de avaliação da conformidade. </w:t>
      </w:r>
    </w:p>
    <w:p w14:paraId="07186376" w14:textId="77777777" w:rsidR="005A707C" w:rsidRDefault="005A707C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DAC5658" w14:textId="67795BD0" w:rsidR="005A707C" w:rsidRPr="003E0DC5" w:rsidRDefault="005A707C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</w:rPr>
        <w:t>Vamos começar?</w:t>
      </w:r>
    </w:p>
    <w:p w14:paraId="7CE2E583" w14:textId="05040AA1" w:rsidR="00185766" w:rsidRPr="003E0DC5" w:rsidRDefault="00185766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6781C2A" w14:textId="77777777" w:rsid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547E01F" w14:textId="77777777" w:rsidR="005E5FFB" w:rsidRDefault="005E5FFB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16DE997" w14:textId="77777777" w:rsidR="005E5FFB" w:rsidRDefault="005E5FFB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50A72816" w14:textId="77777777" w:rsidR="005E5FFB" w:rsidRPr="003E0DC5" w:rsidRDefault="005E5FFB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38DD4F60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D3AE0BB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76CC2B04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2DCE298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4EEDDCC6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163B85ED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048DA174" w14:textId="77777777" w:rsidR="003E0DC5" w:rsidRPr="003E0DC5" w:rsidRDefault="003E0DC5" w:rsidP="003E0DC5">
      <w:pPr>
        <w:spacing w:after="0" w:line="360" w:lineRule="auto"/>
        <w:jc w:val="both"/>
        <w:rPr>
          <w:rFonts w:asciiTheme="majorHAnsi" w:hAnsiTheme="majorHAnsi" w:cstheme="majorHAnsi"/>
        </w:rPr>
      </w:pPr>
    </w:p>
    <w:p w14:paraId="62839C8F" w14:textId="77777777" w:rsidR="003E0DC5" w:rsidRPr="003E0DC5" w:rsidRDefault="003E0DC5" w:rsidP="003E0DC5">
      <w:pPr>
        <w:pStyle w:val="Ttulo1"/>
        <w:numPr>
          <w:ilvl w:val="0"/>
          <w:numId w:val="27"/>
        </w:numPr>
        <w:tabs>
          <w:tab w:val="left" w:pos="426"/>
        </w:tabs>
        <w:spacing w:before="0" w:after="0" w:line="360" w:lineRule="auto"/>
        <w:ind w:left="0" w:hanging="11"/>
        <w:rPr>
          <w:rFonts w:asciiTheme="majorHAnsi" w:hAnsiTheme="majorHAnsi" w:cstheme="majorHAnsi"/>
        </w:rPr>
      </w:pPr>
      <w:bookmarkStart w:id="1" w:name="_Toc517895076"/>
      <w:r w:rsidRPr="003E0DC5">
        <w:rPr>
          <w:rFonts w:asciiTheme="majorHAnsi" w:hAnsiTheme="majorHAnsi" w:cstheme="majorHAnsi"/>
        </w:rPr>
        <w:lastRenderedPageBreak/>
        <w:t>Normas aplicáveis na certificação de produtos</w:t>
      </w:r>
      <w:bookmarkEnd w:id="1"/>
    </w:p>
    <w:p w14:paraId="59BC661B" w14:textId="6510D9C7" w:rsidR="00B203C0" w:rsidRDefault="00BC5023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</w:r>
      <w:r w:rsidR="00B203C0">
        <w:rPr>
          <w:rFonts w:asciiTheme="majorHAnsi" w:hAnsiTheme="majorHAnsi" w:cstheme="majorHAnsi"/>
          <w:bCs/>
        </w:rPr>
        <w:t>Você sabe o que é Normalização?</w:t>
      </w:r>
    </w:p>
    <w:p w14:paraId="1C6EE86B" w14:textId="234EEC92" w:rsidR="00B203C0" w:rsidRDefault="00B203C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br/>
      </w:r>
      <w:r w:rsidR="006B1C31"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6376EA70" wp14:editId="543BBEC6">
            <wp:simplePos x="0" y="0"/>
            <wp:positionH relativeFrom="column">
              <wp:posOffset>-635</wp:posOffset>
            </wp:positionH>
            <wp:positionV relativeFrom="paragraph">
              <wp:posOffset>260350</wp:posOffset>
            </wp:positionV>
            <wp:extent cx="2768600" cy="728345"/>
            <wp:effectExtent l="0" t="0" r="0" b="0"/>
            <wp:wrapSquare wrapText="bothSides"/>
            <wp:docPr id="3" name="Imagem 3" descr="http://prodsaude-entib.org.br/prodsaude/imagens/PS_ANVISA_A04_01_nor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dsaude-entib.org.br/prodsaude/imagens/PS_ANVISA_A04_01_norm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3C0">
        <w:rPr>
          <w:rFonts w:asciiTheme="majorHAnsi" w:hAnsiTheme="majorHAnsi" w:cstheme="majorHAnsi"/>
          <w:bCs/>
        </w:rPr>
        <w:t>Segundo</w:t>
      </w:r>
      <w:r>
        <w:rPr>
          <w:sz w:val="23"/>
          <w:szCs w:val="23"/>
        </w:rPr>
        <w:t xml:space="preserve"> </w:t>
      </w:r>
      <w:r w:rsidRPr="00285717">
        <w:rPr>
          <w:rFonts w:asciiTheme="majorHAnsi" w:hAnsiTheme="majorHAnsi" w:cstheme="majorHAnsi"/>
          <w:bCs/>
        </w:rPr>
        <w:t>ABNT</w:t>
      </w:r>
      <w:r>
        <w:rPr>
          <w:rFonts w:asciiTheme="majorHAnsi" w:hAnsiTheme="majorHAnsi" w:cstheme="majorHAnsi"/>
          <w:bCs/>
        </w:rPr>
        <w:t xml:space="preserve"> </w:t>
      </w:r>
      <w:r w:rsidRPr="00285717">
        <w:rPr>
          <w:rFonts w:asciiTheme="majorHAnsi" w:hAnsiTheme="majorHAnsi" w:cstheme="majorHAnsi"/>
          <w:bCs/>
        </w:rPr>
        <w:t>ISO/IEC Guia</w:t>
      </w:r>
      <w:r>
        <w:rPr>
          <w:rFonts w:asciiTheme="majorHAnsi" w:hAnsiTheme="majorHAnsi" w:cstheme="majorHAnsi"/>
          <w:bCs/>
        </w:rPr>
        <w:t xml:space="preserve"> 2 de 2006</w:t>
      </w:r>
      <w:r w:rsidRPr="00285717">
        <w:rPr>
          <w:rFonts w:asciiTheme="majorHAnsi" w:hAnsiTheme="majorHAnsi" w:cstheme="majorHAnsi"/>
          <w:bCs/>
        </w:rPr>
        <w:t>, normalizaç</w:t>
      </w:r>
      <w:r>
        <w:rPr>
          <w:rFonts w:asciiTheme="majorHAnsi" w:hAnsiTheme="majorHAnsi" w:cstheme="majorHAnsi"/>
          <w:bCs/>
        </w:rPr>
        <w:t>ão</w:t>
      </w:r>
      <w:r>
        <w:rPr>
          <w:sz w:val="23"/>
          <w:szCs w:val="23"/>
        </w:rPr>
        <w:t xml:space="preserve"> </w:t>
      </w:r>
      <w:r w:rsidRPr="00285717">
        <w:rPr>
          <w:rFonts w:asciiTheme="majorHAnsi" w:hAnsiTheme="majorHAnsi" w:cstheme="majorHAnsi"/>
          <w:bCs/>
        </w:rPr>
        <w:t>é uma</w:t>
      </w:r>
      <w:r w:rsidRPr="00285717">
        <w:rPr>
          <w:rFonts w:asciiTheme="majorHAnsi" w:hAnsiTheme="majorHAnsi" w:cstheme="majorHAnsi"/>
          <w:bCs/>
          <w:i/>
        </w:rPr>
        <w:t xml:space="preserve"> </w:t>
      </w:r>
      <w:r>
        <w:rPr>
          <w:rFonts w:asciiTheme="majorHAnsi" w:hAnsiTheme="majorHAnsi" w:cstheme="majorHAnsi"/>
          <w:bCs/>
          <w:i/>
        </w:rPr>
        <w:t>“</w:t>
      </w:r>
      <w:r w:rsidRPr="00285717">
        <w:rPr>
          <w:rFonts w:asciiTheme="majorHAnsi" w:hAnsiTheme="majorHAnsi" w:cstheme="majorHAnsi"/>
          <w:bCs/>
          <w:i/>
        </w:rPr>
        <w:t>atividade que estabelece, em relação a problemas existentes ou potenciais, prescrições destinadas à utilização comum e repetitiva com vistas à obtenção do grau ótimo de ordem em um dado contexto</w:t>
      </w:r>
      <w:r w:rsidRPr="003E0DC5">
        <w:rPr>
          <w:rFonts w:asciiTheme="majorHAnsi" w:hAnsiTheme="majorHAnsi" w:cstheme="majorHAnsi"/>
          <w:bCs/>
        </w:rPr>
        <w:t>.</w:t>
      </w:r>
      <w:r>
        <w:rPr>
          <w:rFonts w:asciiTheme="majorHAnsi" w:hAnsiTheme="majorHAnsi" w:cstheme="majorHAnsi"/>
          <w:bCs/>
        </w:rPr>
        <w:t xml:space="preserve"> ”</w:t>
      </w:r>
    </w:p>
    <w:p w14:paraId="527F9AD5" w14:textId="77777777" w:rsidR="005E5FFB" w:rsidRDefault="005E5FFB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BD6942E" w14:textId="289D3191" w:rsidR="00B203C0" w:rsidRPr="003E0DC5" w:rsidRDefault="00B203C0" w:rsidP="00B203C0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Ela consiste</w:t>
      </w:r>
      <w:r w:rsidRPr="008346B7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>na elaboração, difusão e implementação das Normas.</w:t>
      </w:r>
    </w:p>
    <w:p w14:paraId="041F43E6" w14:textId="6303DEF3" w:rsidR="00B203C0" w:rsidRDefault="00B203C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007AFCD8" w14:textId="69F80FFD" w:rsidR="003E0DC5" w:rsidRPr="003E0DC5" w:rsidRDefault="00B203C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Em outras palavras,</w:t>
      </w:r>
      <w:r w:rsidRPr="003E0DC5">
        <w:rPr>
          <w:rFonts w:asciiTheme="majorHAnsi" w:hAnsiTheme="majorHAnsi" w:cstheme="majorHAnsi"/>
          <w:bCs/>
        </w:rPr>
        <w:t xml:space="preserve"> </w:t>
      </w:r>
      <w:r w:rsidR="003E0DC5" w:rsidRPr="003E0DC5">
        <w:rPr>
          <w:rFonts w:asciiTheme="majorHAnsi" w:hAnsiTheme="majorHAnsi" w:cstheme="majorHAnsi"/>
          <w:b/>
          <w:bCs/>
        </w:rPr>
        <w:t>normalização</w:t>
      </w:r>
      <w:r w:rsidR="003E0DC5" w:rsidRPr="003E0DC5">
        <w:rPr>
          <w:rFonts w:asciiTheme="majorHAnsi" w:hAnsiTheme="majorHAnsi" w:cstheme="majorHAnsi"/>
          <w:bCs/>
        </w:rPr>
        <w:t xml:space="preserve"> é o processo de desenvolvimento, difusão e aplicação de normas técnicas, para a solução ou prevenção de problemas, com a participação de todos os interessados, para a promoção da economia global. </w:t>
      </w:r>
    </w:p>
    <w:p w14:paraId="09429854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680C268" w14:textId="77777777" w:rsidR="008346B7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Ela é um mecanismo que promove o desenvolvimento tecnológico e viabiliza a consolidação da tecnologia nacional e a disseminação da inovação. </w:t>
      </w:r>
    </w:p>
    <w:p w14:paraId="485C1EF5" w14:textId="3A2057AC" w:rsidR="00B203C0" w:rsidRPr="003E0DC5" w:rsidRDefault="00B203C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0B31E3C" w14:textId="66BFE651" w:rsidR="003E0DC5" w:rsidRDefault="009E69ED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Certo, mas o que é norma?</w:t>
      </w:r>
    </w:p>
    <w:p w14:paraId="031C10DF" w14:textId="77777777" w:rsidR="009E69ED" w:rsidRPr="003E0DC5" w:rsidRDefault="009E69ED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29B94E1" w14:textId="77777777" w:rsidR="003E0DC5" w:rsidRPr="007A65ED" w:rsidRDefault="003E0DC5" w:rsidP="0084527A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7A65ED">
        <w:rPr>
          <w:rFonts w:asciiTheme="majorHAnsi" w:hAnsiTheme="majorHAnsi" w:cstheme="majorHAnsi"/>
          <w:b/>
          <w:bCs/>
          <w:i/>
          <w:color w:val="008080"/>
        </w:rPr>
        <w:t>Norma é o documento estabelecido por consenso e aprovado por um organismo reconhecido, que fornece regras, diretrizes ou características mínimas para atividades ou para seus resultados, visando à obtenção de um grau ótimo de ordenação em um dado contexto.</w:t>
      </w:r>
    </w:p>
    <w:p w14:paraId="75AB2E3D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319C455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E8DD98E" w14:textId="4898FD5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As </w:t>
      </w:r>
      <w:r w:rsidRPr="007A65ED">
        <w:rPr>
          <w:rFonts w:asciiTheme="majorHAnsi" w:hAnsiTheme="majorHAnsi" w:cstheme="majorHAnsi"/>
          <w:b/>
          <w:bCs/>
        </w:rPr>
        <w:t>normas técnicas</w:t>
      </w:r>
      <w:r w:rsidRPr="003E0DC5">
        <w:rPr>
          <w:rFonts w:asciiTheme="majorHAnsi" w:hAnsiTheme="majorHAnsi" w:cstheme="majorHAnsi"/>
          <w:bCs/>
        </w:rPr>
        <w:t xml:space="preserve"> estabelecem as expectativas em relação a um produto, processo, serviço ou sistema de gestão, quanto a requisitos de qualidade, de desempenho, de segurança, ambientais, de procedimentos, de formas, de dimensões, de classificações e de terminologias, cuja observância </w:t>
      </w:r>
      <w:r w:rsidRPr="007A65ED">
        <w:rPr>
          <w:rFonts w:asciiTheme="majorHAnsi" w:hAnsiTheme="majorHAnsi" w:cstheme="majorHAnsi"/>
          <w:b/>
          <w:bCs/>
          <w:u w:val="single"/>
        </w:rPr>
        <w:t>não é obrigatória</w:t>
      </w:r>
      <w:r w:rsidRPr="003E0DC5">
        <w:rPr>
          <w:rFonts w:asciiTheme="majorHAnsi" w:hAnsiTheme="majorHAnsi" w:cstheme="majorHAnsi"/>
          <w:bCs/>
        </w:rPr>
        <w:t>. Ou seja, a as normas são</w:t>
      </w:r>
      <w:r w:rsidR="009D38BB">
        <w:rPr>
          <w:rFonts w:asciiTheme="majorHAnsi" w:hAnsiTheme="majorHAnsi" w:cstheme="majorHAnsi"/>
          <w:bCs/>
        </w:rPr>
        <w:t xml:space="preserve"> de cumprimento</w:t>
      </w:r>
      <w:r w:rsidRPr="003E0DC5">
        <w:rPr>
          <w:rFonts w:asciiTheme="majorHAnsi" w:hAnsiTheme="majorHAnsi" w:cstheme="majorHAnsi"/>
          <w:bCs/>
        </w:rPr>
        <w:t xml:space="preserve"> VOLUNTÁRI</w:t>
      </w:r>
      <w:r w:rsidR="009D38BB">
        <w:rPr>
          <w:rFonts w:asciiTheme="majorHAnsi" w:hAnsiTheme="majorHAnsi" w:cstheme="majorHAnsi"/>
          <w:bCs/>
        </w:rPr>
        <w:t>O</w:t>
      </w:r>
      <w:r w:rsidRPr="003E0DC5">
        <w:rPr>
          <w:rFonts w:asciiTheme="majorHAnsi" w:hAnsiTheme="majorHAnsi" w:cstheme="majorHAnsi"/>
          <w:bCs/>
        </w:rPr>
        <w:t xml:space="preserve">. </w:t>
      </w:r>
    </w:p>
    <w:p w14:paraId="32DFECE9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539075B1" w14:textId="52E1D989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As normas técnicas são estabelecidas por consenso e aprovadas por um organismo reconhecido que visa à otimização de benefícios para as empresas e para a comunidade. Ela é </w:t>
      </w:r>
      <w:r w:rsidR="00602EB9">
        <w:rPr>
          <w:rFonts w:asciiTheme="majorHAnsi" w:hAnsiTheme="majorHAnsi" w:cstheme="majorHAnsi"/>
          <w:bCs/>
        </w:rPr>
        <w:t>uma importante ferramenta</w:t>
      </w:r>
      <w:r w:rsidRPr="003E0DC5">
        <w:rPr>
          <w:rFonts w:asciiTheme="majorHAnsi" w:hAnsiTheme="majorHAnsi" w:cstheme="majorHAnsi"/>
          <w:bCs/>
        </w:rPr>
        <w:t xml:space="preserve"> que torna possível a globalização dos mercados</w:t>
      </w:r>
      <w:r w:rsidR="00602EB9">
        <w:rPr>
          <w:rFonts w:asciiTheme="majorHAnsi" w:hAnsiTheme="majorHAnsi" w:cstheme="majorHAnsi"/>
          <w:bCs/>
        </w:rPr>
        <w:t xml:space="preserve">, além de ampliar </w:t>
      </w:r>
      <w:r w:rsidRPr="003E0DC5">
        <w:rPr>
          <w:rFonts w:asciiTheme="majorHAnsi" w:hAnsiTheme="majorHAnsi" w:cstheme="majorHAnsi"/>
          <w:bCs/>
        </w:rPr>
        <w:t>a competitividade das empresas.</w:t>
      </w:r>
    </w:p>
    <w:p w14:paraId="67FFF957" w14:textId="363EFFDB" w:rsidR="003E0DC5" w:rsidRPr="003E0DC5" w:rsidRDefault="006B1C31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2096" behindDoc="0" locked="0" layoutInCell="1" allowOverlap="1" wp14:anchorId="28E6A8A0" wp14:editId="4BA6C370">
            <wp:simplePos x="0" y="0"/>
            <wp:positionH relativeFrom="column">
              <wp:posOffset>-102235</wp:posOffset>
            </wp:positionH>
            <wp:positionV relativeFrom="paragraph">
              <wp:posOffset>255270</wp:posOffset>
            </wp:positionV>
            <wp:extent cx="1409700" cy="1308735"/>
            <wp:effectExtent l="0" t="0" r="0" b="5715"/>
            <wp:wrapSquare wrapText="bothSides"/>
            <wp:docPr id="10" name="Imagem 10" descr="http://prodsaude-entib.org.br/prodsaude/imagens/PS_ANVISA_A4_01_AB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odsaude-entib.org.br/prodsaude/imagens/PS_ANVISA_A4_01_ABNT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D69FA" w14:textId="2626B6C9" w:rsidR="003E0DC5" w:rsidRPr="003E0DC5" w:rsidRDefault="006B1C31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6B1C31">
        <w:t xml:space="preserve"> </w:t>
      </w:r>
      <w:r w:rsidRPr="003E0DC5">
        <w:rPr>
          <w:rFonts w:asciiTheme="majorHAnsi" w:hAnsiTheme="majorHAnsi" w:cstheme="majorHAnsi"/>
          <w:bCs/>
        </w:rPr>
        <w:t xml:space="preserve"> </w:t>
      </w:r>
      <w:r w:rsidR="003E0DC5" w:rsidRPr="003E0DC5">
        <w:rPr>
          <w:rFonts w:asciiTheme="majorHAnsi" w:hAnsiTheme="majorHAnsi" w:cstheme="majorHAnsi"/>
          <w:bCs/>
        </w:rPr>
        <w:t>No Brasil, a Associação Brasileira de Normas Técnicas (ABNT) é o foro nacional de normalização por reconhecimento da sociedade brasileira e confirmado pelo Governo Federal por meio de instrumentos legais.</w:t>
      </w:r>
    </w:p>
    <w:p w14:paraId="2D9FB6BA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theme="majorHAnsi"/>
          <w:bCs/>
        </w:rPr>
      </w:pPr>
    </w:p>
    <w:p w14:paraId="6331CF64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Podemos ter diferentes níveis de normalização, veja a seguir:</w:t>
      </w:r>
    </w:p>
    <w:p w14:paraId="08EE16A8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tbl>
      <w:tblPr>
        <w:tblStyle w:val="SombreamentoMdio1-nfas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939"/>
      </w:tblGrid>
      <w:tr w:rsidR="003E0DC5" w:rsidRPr="003E0DC5" w14:paraId="5E1665F0" w14:textId="77777777" w:rsidTr="007A65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30E7F104" w14:textId="77777777" w:rsidR="003E0DC5" w:rsidRPr="00D37F5D" w:rsidRDefault="003E0DC5" w:rsidP="007A65ED">
            <w:pPr>
              <w:autoSpaceDE w:val="0"/>
              <w:autoSpaceDN w:val="0"/>
              <w:adjustRightInd w:val="0"/>
              <w:spacing w:before="120" w:after="120" w:line="360" w:lineRule="auto"/>
              <w:jc w:val="center"/>
              <w:rPr>
                <w:rFonts w:asciiTheme="majorHAnsi" w:hAnsiTheme="majorHAnsi" w:cstheme="majorHAnsi"/>
                <w:b w:val="0"/>
                <w:bCs w:val="0"/>
                <w:color w:val="auto"/>
              </w:rPr>
            </w:pPr>
            <w:r w:rsidRPr="00D37F5D">
              <w:rPr>
                <w:rFonts w:asciiTheme="majorHAnsi" w:hAnsiTheme="majorHAnsi" w:cstheme="majorHAnsi"/>
                <w:bCs w:val="0"/>
              </w:rPr>
              <w:t>Nível</w:t>
            </w:r>
          </w:p>
        </w:tc>
        <w:tc>
          <w:tcPr>
            <w:tcW w:w="693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4D15F2F4" w14:textId="77777777" w:rsidR="003E0DC5" w:rsidRPr="00D37F5D" w:rsidRDefault="003E0DC5" w:rsidP="00D37F5D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</w:rPr>
            </w:pPr>
            <w:r w:rsidRPr="00D37F5D">
              <w:rPr>
                <w:rFonts w:asciiTheme="majorHAnsi" w:hAnsiTheme="majorHAnsi" w:cstheme="majorHAnsi"/>
                <w:bCs w:val="0"/>
              </w:rPr>
              <w:t>Descrição</w:t>
            </w:r>
          </w:p>
        </w:tc>
      </w:tr>
      <w:tr w:rsidR="003E0DC5" w:rsidRPr="003E0DC5" w14:paraId="49D0C92B" w14:textId="77777777" w:rsidTr="007A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1C51863A" w14:textId="33B19178" w:rsidR="003E0DC5" w:rsidRPr="003E0DC5" w:rsidRDefault="003E0DC5" w:rsidP="00D37F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Cs w:val="0"/>
              </w:rPr>
            </w:pPr>
            <w:r w:rsidRPr="003E0DC5">
              <w:rPr>
                <w:rFonts w:asciiTheme="majorHAnsi" w:hAnsiTheme="majorHAnsi" w:cstheme="majorHAnsi"/>
              </w:rPr>
              <w:t>Internacional</w:t>
            </w:r>
          </w:p>
        </w:tc>
        <w:tc>
          <w:tcPr>
            <w:tcW w:w="6939" w:type="dxa"/>
            <w:tcBorders>
              <w:lef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6404361" w14:textId="77777777" w:rsidR="007D23D6" w:rsidRDefault="003E0DC5" w:rsidP="007A65ED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Envolve vários países diferentes. </w:t>
            </w:r>
          </w:p>
          <w:p w14:paraId="55DD7C15" w14:textId="77777777" w:rsidR="007D23D6" w:rsidRPr="007A65ED" w:rsidRDefault="003E0DC5" w:rsidP="007A65ED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7A65ED">
              <w:rPr>
                <w:rFonts w:asciiTheme="majorHAnsi" w:hAnsiTheme="majorHAnsi" w:cstheme="majorHAnsi"/>
                <w:bCs/>
              </w:rPr>
              <w:t>Ex</w:t>
            </w:r>
            <w:r w:rsidR="007D23D6" w:rsidRPr="007A65ED">
              <w:rPr>
                <w:rFonts w:asciiTheme="majorHAnsi" w:hAnsiTheme="majorHAnsi" w:cstheme="majorHAnsi"/>
                <w:bCs/>
              </w:rPr>
              <w:t>emplos</w:t>
            </w:r>
            <w:r w:rsidRPr="007A65ED">
              <w:rPr>
                <w:rFonts w:asciiTheme="majorHAnsi" w:hAnsiTheme="majorHAnsi" w:cstheme="majorHAnsi"/>
                <w:bCs/>
              </w:rPr>
              <w:t xml:space="preserve">: </w:t>
            </w:r>
          </w:p>
          <w:p w14:paraId="6159A712" w14:textId="303BD403" w:rsidR="004E5364" w:rsidRDefault="003E0DC5" w:rsidP="007A65ED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7A65ED">
              <w:rPr>
                <w:rFonts w:asciiTheme="majorHAnsi" w:hAnsiTheme="majorHAnsi" w:cstheme="majorHAnsi"/>
                <w:bCs/>
              </w:rPr>
              <w:t>Organismo Internacional de Normalização (</w:t>
            </w:r>
            <w:r w:rsidRPr="007A65ED">
              <w:rPr>
                <w:rFonts w:asciiTheme="majorHAnsi" w:hAnsiTheme="majorHAnsi" w:cstheme="majorHAnsi"/>
                <w:b/>
                <w:bCs/>
              </w:rPr>
              <w:t>ISO</w:t>
            </w:r>
            <w:r w:rsidRPr="007A65ED">
              <w:rPr>
                <w:rFonts w:asciiTheme="majorHAnsi" w:hAnsiTheme="majorHAnsi" w:cstheme="majorHAnsi"/>
                <w:bCs/>
              </w:rPr>
              <w:t xml:space="preserve">, na sigla em inglês) </w:t>
            </w:r>
          </w:p>
          <w:p w14:paraId="0472F940" w14:textId="476B58A5" w:rsidR="003E0DC5" w:rsidRPr="007A65ED" w:rsidRDefault="003E0DC5" w:rsidP="007A65ED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7A65ED">
              <w:rPr>
                <w:rFonts w:asciiTheme="majorHAnsi" w:hAnsiTheme="majorHAnsi" w:cstheme="majorHAnsi"/>
                <w:bCs/>
              </w:rPr>
              <w:t>Comissão Eletrotécnica Internacional (IEC, na sigla em inglês).</w:t>
            </w:r>
          </w:p>
        </w:tc>
      </w:tr>
      <w:tr w:rsidR="003E0DC5" w:rsidRPr="003E0DC5" w14:paraId="684EAC0A" w14:textId="77777777" w:rsidTr="007A65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  <w:vAlign w:val="center"/>
          </w:tcPr>
          <w:p w14:paraId="69C243F2" w14:textId="77777777" w:rsidR="003E0DC5" w:rsidRPr="003E0DC5" w:rsidRDefault="003E0DC5" w:rsidP="00D37F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Cs w:val="0"/>
              </w:rPr>
            </w:pPr>
            <w:r w:rsidRPr="003E0DC5">
              <w:rPr>
                <w:rFonts w:asciiTheme="majorHAnsi" w:hAnsiTheme="majorHAnsi" w:cstheme="majorHAnsi"/>
              </w:rPr>
              <w:t>Regional</w:t>
            </w:r>
          </w:p>
        </w:tc>
        <w:tc>
          <w:tcPr>
            <w:tcW w:w="6939" w:type="dxa"/>
            <w:tcBorders>
              <w:left w:val="none" w:sz="0" w:space="0" w:color="auto"/>
            </w:tcBorders>
            <w:vAlign w:val="center"/>
          </w:tcPr>
          <w:p w14:paraId="354E4AB0" w14:textId="77777777" w:rsidR="007D23D6" w:rsidRDefault="003E0DC5" w:rsidP="007A65ED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Engloba países de uma determinada região geográfica, econômica ou política. </w:t>
            </w:r>
          </w:p>
          <w:p w14:paraId="0DE34CA0" w14:textId="77777777" w:rsidR="007D23D6" w:rsidRDefault="003E0DC5" w:rsidP="007A65ED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Ex</w:t>
            </w:r>
            <w:r w:rsidR="007D23D6">
              <w:rPr>
                <w:rFonts w:asciiTheme="majorHAnsi" w:hAnsiTheme="majorHAnsi" w:cstheme="majorHAnsi"/>
                <w:bCs/>
              </w:rPr>
              <w:t>emplos</w:t>
            </w:r>
            <w:r w:rsidRPr="003E0DC5">
              <w:rPr>
                <w:rFonts w:asciiTheme="majorHAnsi" w:hAnsiTheme="majorHAnsi" w:cstheme="majorHAnsi"/>
                <w:bCs/>
              </w:rPr>
              <w:t>:</w:t>
            </w:r>
          </w:p>
          <w:p w14:paraId="09554677" w14:textId="1A7F3B96" w:rsidR="007D23D6" w:rsidRDefault="003E0DC5" w:rsidP="004E5364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Associação Mercosul de Normalização </w:t>
            </w:r>
            <w:r w:rsidR="004E5364">
              <w:rPr>
                <w:rFonts w:asciiTheme="majorHAnsi" w:hAnsiTheme="majorHAnsi" w:cstheme="majorHAnsi"/>
                <w:bCs/>
              </w:rPr>
              <w:t xml:space="preserve">- </w:t>
            </w:r>
            <w:r w:rsidRPr="003E0DC5">
              <w:rPr>
                <w:rFonts w:asciiTheme="majorHAnsi" w:hAnsiTheme="majorHAnsi" w:cstheme="majorHAnsi"/>
                <w:bCs/>
              </w:rPr>
              <w:t>AMN</w:t>
            </w:r>
          </w:p>
          <w:p w14:paraId="3AE7C3C8" w14:textId="69C83A87" w:rsidR="003E0DC5" w:rsidRPr="003E0DC5" w:rsidRDefault="003E0DC5" w:rsidP="004E5364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Comissão Pan-americana de Normas Técnicas </w:t>
            </w:r>
            <w:r w:rsidR="004E5364">
              <w:rPr>
                <w:rFonts w:asciiTheme="majorHAnsi" w:hAnsiTheme="majorHAnsi" w:cstheme="majorHAnsi"/>
                <w:bCs/>
              </w:rPr>
              <w:t xml:space="preserve">- </w:t>
            </w:r>
            <w:proofErr w:type="spellStart"/>
            <w:r w:rsidRPr="003E0DC5">
              <w:rPr>
                <w:rFonts w:asciiTheme="majorHAnsi" w:hAnsiTheme="majorHAnsi" w:cstheme="majorHAnsi"/>
                <w:bCs/>
              </w:rPr>
              <w:t>Copant</w:t>
            </w:r>
            <w:proofErr w:type="spellEnd"/>
          </w:p>
        </w:tc>
      </w:tr>
      <w:tr w:rsidR="003E0DC5" w:rsidRPr="003E0DC5" w14:paraId="277B62EE" w14:textId="77777777" w:rsidTr="007A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2D2AFA6A" w14:textId="77777777" w:rsidR="003E0DC5" w:rsidRPr="003E0DC5" w:rsidRDefault="003E0DC5" w:rsidP="00D37F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Cs w:val="0"/>
              </w:rPr>
            </w:pPr>
            <w:r w:rsidRPr="003E0DC5">
              <w:rPr>
                <w:rFonts w:asciiTheme="majorHAnsi" w:hAnsiTheme="majorHAnsi" w:cstheme="majorHAnsi"/>
              </w:rPr>
              <w:t>Nacional</w:t>
            </w:r>
          </w:p>
        </w:tc>
        <w:tc>
          <w:tcPr>
            <w:tcW w:w="6939" w:type="dxa"/>
            <w:tcBorders>
              <w:lef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7A3061FD" w14:textId="77777777" w:rsidR="004E5364" w:rsidRDefault="003E0DC5" w:rsidP="007A65ED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Organismo específico de uma nação para realização do processo de normalização. </w:t>
            </w:r>
          </w:p>
          <w:p w14:paraId="6D16CE64" w14:textId="77777777" w:rsidR="004E5364" w:rsidRDefault="003E0DC5" w:rsidP="007A65ED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Ex</w:t>
            </w:r>
            <w:r w:rsidR="004E5364">
              <w:rPr>
                <w:rFonts w:asciiTheme="majorHAnsi" w:hAnsiTheme="majorHAnsi" w:cstheme="majorHAnsi"/>
                <w:bCs/>
              </w:rPr>
              <w:t>emplos</w:t>
            </w:r>
            <w:r w:rsidRPr="003E0DC5">
              <w:rPr>
                <w:rFonts w:asciiTheme="majorHAnsi" w:hAnsiTheme="majorHAnsi" w:cstheme="majorHAnsi"/>
                <w:bCs/>
              </w:rPr>
              <w:t xml:space="preserve">: </w:t>
            </w:r>
          </w:p>
          <w:p w14:paraId="109D4A63" w14:textId="7C349C7C" w:rsidR="004E5364" w:rsidRPr="00E2336E" w:rsidRDefault="004E5364" w:rsidP="007A65ED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E2336E">
              <w:rPr>
                <w:rFonts w:asciiTheme="majorHAnsi" w:hAnsiTheme="majorHAnsi" w:cstheme="majorHAnsi"/>
                <w:bCs/>
              </w:rPr>
              <w:t xml:space="preserve">No </w:t>
            </w:r>
            <w:r w:rsidR="003E0DC5" w:rsidRPr="00E2336E">
              <w:rPr>
                <w:rFonts w:asciiTheme="majorHAnsi" w:hAnsiTheme="majorHAnsi" w:cstheme="majorHAnsi"/>
                <w:bCs/>
              </w:rPr>
              <w:t>Brasil</w:t>
            </w:r>
            <w:r w:rsidRPr="00E2336E">
              <w:rPr>
                <w:rFonts w:asciiTheme="majorHAnsi" w:hAnsiTheme="majorHAnsi" w:cstheme="majorHAnsi"/>
                <w:bCs/>
              </w:rPr>
              <w:t xml:space="preserve"> -</w:t>
            </w:r>
            <w:r w:rsidR="003E0DC5" w:rsidRPr="00E2336E">
              <w:rPr>
                <w:rFonts w:asciiTheme="majorHAnsi" w:hAnsiTheme="majorHAnsi" w:cstheme="majorHAnsi"/>
                <w:bCs/>
              </w:rPr>
              <w:t xml:space="preserve"> </w:t>
            </w:r>
            <w:r w:rsidRPr="00E2336E">
              <w:rPr>
                <w:rFonts w:asciiTheme="majorHAnsi" w:hAnsiTheme="majorHAnsi" w:cstheme="majorHAnsi"/>
                <w:bCs/>
              </w:rPr>
              <w:t xml:space="preserve">Associação Brasileira de Normas técnicas - </w:t>
            </w:r>
            <w:r w:rsidR="003E0DC5" w:rsidRPr="00E2336E">
              <w:rPr>
                <w:rFonts w:asciiTheme="majorHAnsi" w:hAnsiTheme="majorHAnsi" w:cstheme="majorHAnsi"/>
                <w:bCs/>
              </w:rPr>
              <w:t xml:space="preserve">ABNT </w:t>
            </w:r>
          </w:p>
          <w:p w14:paraId="485B980D" w14:textId="5275B437" w:rsidR="004E5364" w:rsidRPr="007A65ED" w:rsidRDefault="004E5364" w:rsidP="007A65ED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N</w:t>
            </w:r>
            <w:r w:rsidRPr="003E0DC5">
              <w:rPr>
                <w:rFonts w:asciiTheme="majorHAnsi" w:hAnsiTheme="majorHAnsi" w:cstheme="majorHAnsi"/>
                <w:bCs/>
              </w:rPr>
              <w:t xml:space="preserve">a </w:t>
            </w:r>
            <w:r w:rsidR="003E0DC5" w:rsidRPr="003E0DC5">
              <w:rPr>
                <w:rFonts w:asciiTheme="majorHAnsi" w:hAnsiTheme="majorHAnsi" w:cstheme="majorHAnsi"/>
                <w:bCs/>
              </w:rPr>
              <w:t>França</w:t>
            </w:r>
            <w:r>
              <w:rPr>
                <w:rFonts w:asciiTheme="majorHAnsi" w:hAnsiTheme="majorHAnsi" w:cstheme="majorHAnsi"/>
                <w:bCs/>
              </w:rPr>
              <w:t xml:space="preserve"> -</w:t>
            </w:r>
            <w:r w:rsidRPr="003E0DC5">
              <w:rPr>
                <w:rFonts w:asciiTheme="majorHAnsi" w:hAnsiTheme="majorHAnsi" w:cstheme="majorHAnsi"/>
                <w:bCs/>
              </w:rPr>
              <w:t xml:space="preserve"> </w:t>
            </w:r>
            <w:r w:rsidRPr="004E5364">
              <w:rPr>
                <w:rFonts w:asciiTheme="majorHAnsi" w:hAnsiTheme="majorHAnsi" w:cstheme="majorHAnsi"/>
                <w:bCs/>
              </w:rPr>
              <w:t>Associação Francesa de Normalização</w:t>
            </w:r>
            <w:r>
              <w:rPr>
                <w:rFonts w:asciiTheme="majorHAnsi" w:hAnsiTheme="majorHAnsi" w:cstheme="majorHAnsi"/>
                <w:bCs/>
              </w:rPr>
              <w:t xml:space="preserve"> - </w:t>
            </w:r>
            <w:proofErr w:type="spellStart"/>
            <w:r w:rsidR="003E0DC5" w:rsidRPr="007A65ED">
              <w:rPr>
                <w:rFonts w:asciiTheme="majorHAnsi" w:hAnsiTheme="majorHAnsi" w:cstheme="majorHAnsi"/>
                <w:bCs/>
              </w:rPr>
              <w:t>Afnor</w:t>
            </w:r>
            <w:proofErr w:type="spellEnd"/>
            <w:r w:rsidR="003E0DC5" w:rsidRPr="007A65ED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7BE0D7F8" w14:textId="42E0DBC8" w:rsidR="004E5364" w:rsidRDefault="004E5364" w:rsidP="007A65ED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N</w:t>
            </w:r>
            <w:r w:rsidRPr="003E0DC5">
              <w:rPr>
                <w:rFonts w:asciiTheme="majorHAnsi" w:hAnsiTheme="majorHAnsi" w:cstheme="majorHAnsi"/>
                <w:bCs/>
              </w:rPr>
              <w:t xml:space="preserve">a </w:t>
            </w:r>
            <w:r w:rsidR="003E0DC5" w:rsidRPr="003E0DC5">
              <w:rPr>
                <w:rFonts w:asciiTheme="majorHAnsi" w:hAnsiTheme="majorHAnsi" w:cstheme="majorHAnsi"/>
                <w:bCs/>
              </w:rPr>
              <w:t>Argentina</w:t>
            </w:r>
            <w:r>
              <w:rPr>
                <w:rFonts w:asciiTheme="majorHAnsi" w:hAnsiTheme="majorHAnsi" w:cstheme="majorHAnsi"/>
                <w:bCs/>
              </w:rPr>
              <w:t xml:space="preserve"> -</w:t>
            </w:r>
            <w:r w:rsidRPr="003E0DC5">
              <w:rPr>
                <w:rFonts w:asciiTheme="majorHAnsi" w:hAnsiTheme="majorHAnsi" w:cstheme="majorHAnsi"/>
                <w:bCs/>
              </w:rPr>
              <w:t xml:space="preserve"> </w:t>
            </w:r>
            <w:r w:rsidRPr="004E5364">
              <w:rPr>
                <w:rFonts w:asciiTheme="majorHAnsi" w:hAnsiTheme="majorHAnsi" w:cstheme="majorHAnsi"/>
                <w:bCs/>
              </w:rPr>
              <w:t>Instituto Argentino de Normaliza</w:t>
            </w:r>
            <w:r>
              <w:rPr>
                <w:rFonts w:asciiTheme="majorHAnsi" w:hAnsiTheme="majorHAnsi" w:cstheme="majorHAnsi"/>
                <w:bCs/>
              </w:rPr>
              <w:t xml:space="preserve">ção e </w:t>
            </w:r>
            <w:r w:rsidRPr="004E5364">
              <w:rPr>
                <w:rFonts w:asciiTheme="majorHAnsi" w:hAnsiTheme="majorHAnsi" w:cstheme="majorHAnsi"/>
                <w:bCs/>
              </w:rPr>
              <w:t>Certifica</w:t>
            </w:r>
            <w:r>
              <w:rPr>
                <w:rFonts w:asciiTheme="majorHAnsi" w:hAnsiTheme="majorHAnsi" w:cstheme="majorHAnsi"/>
                <w:bCs/>
              </w:rPr>
              <w:t>ção -</w:t>
            </w:r>
            <w:r w:rsidRPr="004E5364">
              <w:rPr>
                <w:rFonts w:asciiTheme="majorHAnsi" w:hAnsiTheme="majorHAnsi" w:cstheme="majorHAnsi"/>
                <w:bCs/>
              </w:rPr>
              <w:t xml:space="preserve"> </w:t>
            </w:r>
            <w:r w:rsidR="003E0DC5" w:rsidRPr="003E0DC5">
              <w:rPr>
                <w:rFonts w:asciiTheme="majorHAnsi" w:hAnsiTheme="majorHAnsi" w:cstheme="majorHAnsi"/>
                <w:bCs/>
              </w:rPr>
              <w:t>Iram</w:t>
            </w:r>
          </w:p>
          <w:p w14:paraId="6BF169F9" w14:textId="6467B4A5" w:rsidR="003E0DC5" w:rsidRPr="003E0DC5" w:rsidRDefault="003E0DC5" w:rsidP="007A65ED">
            <w:pPr>
              <w:pStyle w:val="PargrafodaLista"/>
              <w:numPr>
                <w:ilvl w:val="0"/>
                <w:numId w:val="42"/>
              </w:numPr>
              <w:tabs>
                <w:tab w:val="left" w:pos="250"/>
              </w:tabs>
              <w:autoSpaceDE w:val="0"/>
              <w:autoSpaceDN w:val="0"/>
              <w:adjustRightInd w:val="0"/>
              <w:spacing w:line="360" w:lineRule="auto"/>
              <w:ind w:left="0" w:hanging="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Alemanha</w:t>
            </w:r>
            <w:r w:rsidR="004E5364">
              <w:rPr>
                <w:rFonts w:asciiTheme="majorHAnsi" w:hAnsiTheme="majorHAnsi" w:cstheme="majorHAnsi"/>
                <w:bCs/>
              </w:rPr>
              <w:t xml:space="preserve"> - </w:t>
            </w:r>
            <w:r w:rsidR="004E5364" w:rsidRPr="004E5364">
              <w:rPr>
                <w:rFonts w:asciiTheme="majorHAnsi" w:hAnsiTheme="majorHAnsi" w:cstheme="majorHAnsi"/>
                <w:bCs/>
              </w:rPr>
              <w:t>Instituto Alemão para Normatização</w:t>
            </w:r>
            <w:r w:rsidR="004E5364">
              <w:rPr>
                <w:rFonts w:asciiTheme="majorHAnsi" w:hAnsiTheme="majorHAnsi" w:cstheme="majorHAnsi"/>
                <w:bCs/>
              </w:rPr>
              <w:t xml:space="preserve"> -</w:t>
            </w:r>
            <w:r w:rsidR="004E5364" w:rsidRPr="004E5364">
              <w:rPr>
                <w:rFonts w:asciiTheme="majorHAnsi" w:hAnsiTheme="majorHAnsi" w:cstheme="majorHAnsi"/>
                <w:bCs/>
              </w:rPr>
              <w:t xml:space="preserve"> </w:t>
            </w:r>
            <w:r w:rsidRPr="003E0DC5">
              <w:rPr>
                <w:rFonts w:asciiTheme="majorHAnsi" w:hAnsiTheme="majorHAnsi" w:cstheme="majorHAnsi"/>
                <w:bCs/>
              </w:rPr>
              <w:t>DIN</w:t>
            </w:r>
          </w:p>
        </w:tc>
      </w:tr>
      <w:tr w:rsidR="003E0DC5" w:rsidRPr="003E0DC5" w14:paraId="74505A9F" w14:textId="77777777" w:rsidTr="007A65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tcBorders>
              <w:right w:val="none" w:sz="0" w:space="0" w:color="auto"/>
            </w:tcBorders>
            <w:vAlign w:val="center"/>
          </w:tcPr>
          <w:p w14:paraId="438F0679" w14:textId="77777777" w:rsidR="003E0DC5" w:rsidRPr="003E0DC5" w:rsidRDefault="003E0DC5" w:rsidP="00D37F5D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Theme="majorHAnsi" w:hAnsiTheme="majorHAnsi" w:cstheme="majorHAnsi"/>
                <w:bCs w:val="0"/>
              </w:rPr>
            </w:pPr>
            <w:r w:rsidRPr="003E0DC5">
              <w:rPr>
                <w:rFonts w:asciiTheme="majorHAnsi" w:hAnsiTheme="majorHAnsi" w:cstheme="majorHAnsi"/>
              </w:rPr>
              <w:t>Empresarial</w:t>
            </w:r>
          </w:p>
        </w:tc>
        <w:tc>
          <w:tcPr>
            <w:tcW w:w="6939" w:type="dxa"/>
            <w:tcBorders>
              <w:left w:val="none" w:sz="0" w:space="0" w:color="auto"/>
            </w:tcBorders>
            <w:vAlign w:val="center"/>
          </w:tcPr>
          <w:p w14:paraId="2B8DA71A" w14:textId="64E288AB" w:rsidR="003E0DC5" w:rsidRPr="003E0DC5" w:rsidRDefault="003E0DC5" w:rsidP="007A65ED">
            <w:pPr>
              <w:autoSpaceDE w:val="0"/>
              <w:autoSpaceDN w:val="0"/>
              <w:adjustRightInd w:val="0"/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Neste nível, cada empresa cria suas próprias normas técnicas.</w:t>
            </w:r>
          </w:p>
        </w:tc>
      </w:tr>
    </w:tbl>
    <w:p w14:paraId="49B17F38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96A721E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3A8BC85" w14:textId="7ED92585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Apesar d</w:t>
      </w:r>
      <w:r w:rsidR="00D37F5D">
        <w:rPr>
          <w:rFonts w:asciiTheme="majorHAnsi" w:hAnsiTheme="majorHAnsi" w:cstheme="majorHAnsi"/>
          <w:bCs/>
        </w:rPr>
        <w:t xml:space="preserve">e </w:t>
      </w:r>
      <w:r w:rsidRPr="003E0DC5">
        <w:rPr>
          <w:rFonts w:asciiTheme="majorHAnsi" w:hAnsiTheme="majorHAnsi" w:cstheme="majorHAnsi"/>
          <w:bCs/>
        </w:rPr>
        <w:t xml:space="preserve">as normas serem de caráter voluntário, os regulamentadores, como a </w:t>
      </w:r>
      <w:r w:rsidR="00E46EBB">
        <w:rPr>
          <w:rFonts w:asciiTheme="majorHAnsi" w:hAnsiTheme="majorHAnsi" w:cstheme="majorHAnsi"/>
          <w:bCs/>
        </w:rPr>
        <w:t>Anvisa</w:t>
      </w:r>
      <w:r w:rsidRPr="003E0DC5">
        <w:rPr>
          <w:rFonts w:asciiTheme="majorHAnsi" w:hAnsiTheme="majorHAnsi" w:cstheme="majorHAnsi"/>
          <w:bCs/>
        </w:rPr>
        <w:t xml:space="preserve"> e o </w:t>
      </w:r>
      <w:r w:rsidR="00E46EBB">
        <w:rPr>
          <w:rFonts w:asciiTheme="majorHAnsi" w:hAnsiTheme="majorHAnsi" w:cstheme="majorHAnsi"/>
          <w:bCs/>
        </w:rPr>
        <w:t>Inmetro</w:t>
      </w:r>
      <w:r w:rsidRPr="003E0DC5">
        <w:rPr>
          <w:rFonts w:asciiTheme="majorHAnsi" w:hAnsiTheme="majorHAnsi" w:cstheme="majorHAnsi"/>
          <w:bCs/>
        </w:rPr>
        <w:t xml:space="preserve">, podem </w:t>
      </w:r>
      <w:r w:rsidR="003E0097" w:rsidRPr="003E0DC5">
        <w:rPr>
          <w:rFonts w:asciiTheme="majorHAnsi" w:hAnsiTheme="majorHAnsi" w:cstheme="majorHAnsi"/>
          <w:bCs/>
        </w:rPr>
        <w:t>torn</w:t>
      </w:r>
      <w:r w:rsidR="003E0097">
        <w:rPr>
          <w:rFonts w:asciiTheme="majorHAnsi" w:hAnsiTheme="majorHAnsi" w:cstheme="majorHAnsi"/>
          <w:bCs/>
        </w:rPr>
        <w:t>á</w:t>
      </w:r>
      <w:r w:rsidRPr="003E0DC5">
        <w:rPr>
          <w:rFonts w:asciiTheme="majorHAnsi" w:hAnsiTheme="majorHAnsi" w:cstheme="majorHAnsi"/>
          <w:bCs/>
        </w:rPr>
        <w:t>-las de uso compulsório.</w:t>
      </w:r>
    </w:p>
    <w:p w14:paraId="3B550911" w14:textId="0AA7ACE5" w:rsidR="003E0DC5" w:rsidRPr="003E0DC5" w:rsidRDefault="00461DDC" w:rsidP="00461DDC">
      <w:pPr>
        <w:tabs>
          <w:tab w:val="left" w:pos="2592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ab/>
      </w:r>
    </w:p>
    <w:p w14:paraId="4849A758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Você sabe como se faz isso?</w:t>
      </w:r>
    </w:p>
    <w:p w14:paraId="4CA5B076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0B6F8260" w14:textId="295177FC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As normas citadas em regulamentos, que </w:t>
      </w:r>
      <w:r w:rsidR="00F466B9">
        <w:rPr>
          <w:rFonts w:asciiTheme="majorHAnsi" w:hAnsiTheme="majorHAnsi" w:cstheme="majorHAnsi"/>
          <w:bCs/>
        </w:rPr>
        <w:t>possuem</w:t>
      </w:r>
      <w:r w:rsidR="00F466B9" w:rsidRPr="003E0DC5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 xml:space="preserve">“poder de lei”, passam a ser consideradas compulsórias, ou seja, de uso obrigatório! </w:t>
      </w:r>
    </w:p>
    <w:p w14:paraId="4FE958BE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5FE4FE2" w14:textId="5B0EE8A2" w:rsidR="003E0DC5" w:rsidRPr="003E0DC5" w:rsidRDefault="003E0DC5" w:rsidP="00F74C22">
      <w:pPr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Por este motivo, a normalização tem um impacto muito grande no dia</w:t>
      </w:r>
      <w:r w:rsidR="00F466B9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>a</w:t>
      </w:r>
      <w:r w:rsidR="00F466B9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 xml:space="preserve">dia das empresas, laboratórios, certificadoras e organismos de acreditação. </w:t>
      </w:r>
      <w:r w:rsidR="00F466B9">
        <w:rPr>
          <w:rFonts w:asciiTheme="majorHAnsi" w:hAnsiTheme="majorHAnsi" w:cstheme="majorHAnsi"/>
          <w:bCs/>
        </w:rPr>
        <w:t>Em uma Norma, u</w:t>
      </w:r>
      <w:r w:rsidRPr="003E0DC5">
        <w:rPr>
          <w:rFonts w:asciiTheme="majorHAnsi" w:hAnsiTheme="majorHAnsi" w:cstheme="majorHAnsi"/>
          <w:bCs/>
        </w:rPr>
        <w:t>m requisito inadequado</w:t>
      </w:r>
      <w:r w:rsidR="00F466B9">
        <w:rPr>
          <w:rFonts w:asciiTheme="majorHAnsi" w:hAnsiTheme="majorHAnsi" w:cstheme="majorHAnsi"/>
          <w:bCs/>
        </w:rPr>
        <w:t>,</w:t>
      </w:r>
      <w:r w:rsidRPr="003E0DC5">
        <w:rPr>
          <w:rFonts w:asciiTheme="majorHAnsi" w:hAnsiTheme="majorHAnsi" w:cstheme="majorHAnsi"/>
          <w:bCs/>
        </w:rPr>
        <w:t xml:space="preserve"> ou complexo de ser atendido</w:t>
      </w:r>
      <w:r w:rsidR="00F466B9">
        <w:rPr>
          <w:rFonts w:asciiTheme="majorHAnsi" w:hAnsiTheme="majorHAnsi" w:cstheme="majorHAnsi"/>
          <w:bCs/>
        </w:rPr>
        <w:t>,</w:t>
      </w:r>
      <w:r w:rsidRPr="003E0DC5">
        <w:rPr>
          <w:rFonts w:asciiTheme="majorHAnsi" w:hAnsiTheme="majorHAnsi" w:cstheme="majorHAnsi"/>
          <w:bCs/>
        </w:rPr>
        <w:t xml:space="preserve"> pode causar um grande problema na cadeia de avaliação da conformidade.</w:t>
      </w:r>
    </w:p>
    <w:p w14:paraId="10133412" w14:textId="129C7D43" w:rsidR="003E0DC5" w:rsidRPr="003E0DC5" w:rsidRDefault="003E0DC5" w:rsidP="00F74C22">
      <w:pPr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Devido a este fato, é usual ver estas organizações participando ativamente no processo de normalização, pois serão diretamente afetadas pelos resultados das normas e seus requisitos.</w:t>
      </w:r>
    </w:p>
    <w:p w14:paraId="55BB322D" w14:textId="5F5F7FC4" w:rsidR="003E0DC5" w:rsidRPr="003E0DC5" w:rsidRDefault="003E0DC5" w:rsidP="00F74C22">
      <w:pPr>
        <w:autoSpaceDE w:val="0"/>
        <w:autoSpaceDN w:val="0"/>
        <w:adjustRightInd w:val="0"/>
        <w:spacing w:after="24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A seguir apresentamos uma tabela de exemplos de normas aplicáveis aos diferentes organismos envolvidos no processo de avaliação da conformidade na área da saúde. </w:t>
      </w:r>
    </w:p>
    <w:tbl>
      <w:tblPr>
        <w:tblStyle w:val="SombreamentoMdio1-nfase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7331"/>
      </w:tblGrid>
      <w:tr w:rsidR="00F74C22" w:rsidRPr="003E0DC5" w14:paraId="4C819E70" w14:textId="77777777" w:rsidTr="007A65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0980C663" w14:textId="77777777" w:rsidR="003E0DC5" w:rsidRPr="003E0DC5" w:rsidRDefault="003E0DC5" w:rsidP="007D23D6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 w:val="0"/>
              </w:rPr>
            </w:pPr>
            <w:r w:rsidRPr="003E0DC5">
              <w:rPr>
                <w:rFonts w:asciiTheme="majorHAnsi" w:hAnsiTheme="majorHAnsi" w:cstheme="majorHAnsi"/>
                <w:bCs w:val="0"/>
              </w:rPr>
              <w:t>Organismo</w:t>
            </w:r>
          </w:p>
        </w:tc>
        <w:tc>
          <w:tcPr>
            <w:tcW w:w="7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080"/>
            <w:vAlign w:val="center"/>
          </w:tcPr>
          <w:p w14:paraId="2C4775DE" w14:textId="77777777" w:rsidR="003E0DC5" w:rsidRPr="003E0DC5" w:rsidRDefault="003E0DC5" w:rsidP="007D23D6">
            <w:pPr>
              <w:autoSpaceDE w:val="0"/>
              <w:autoSpaceDN w:val="0"/>
              <w:adjustRightInd w:val="0"/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Cs w:val="0"/>
              </w:rPr>
            </w:pPr>
            <w:r w:rsidRPr="003E0DC5">
              <w:rPr>
                <w:rFonts w:asciiTheme="majorHAnsi" w:hAnsiTheme="majorHAnsi" w:cstheme="majorHAnsi"/>
                <w:bCs w:val="0"/>
              </w:rPr>
              <w:t>Normas</w:t>
            </w:r>
          </w:p>
        </w:tc>
      </w:tr>
      <w:tr w:rsidR="00F74C22" w:rsidRPr="003E0DC5" w14:paraId="46A70796" w14:textId="77777777" w:rsidTr="007A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tcBorders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5B1A96A6" w14:textId="77777777" w:rsidR="00F74C22" w:rsidRDefault="00F74C22" w:rsidP="007A65E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proofErr w:type="spellStart"/>
            <w:r w:rsidRPr="003E0DC5">
              <w:rPr>
                <w:rFonts w:asciiTheme="majorHAnsi" w:hAnsiTheme="majorHAnsi" w:cstheme="majorHAnsi"/>
              </w:rPr>
              <w:t>C</w:t>
            </w:r>
            <w:r>
              <w:rPr>
                <w:rFonts w:asciiTheme="majorHAnsi" w:hAnsiTheme="majorHAnsi" w:cstheme="majorHAnsi"/>
              </w:rPr>
              <w:t>gcre</w:t>
            </w:r>
            <w:proofErr w:type="spellEnd"/>
            <w:r w:rsidRPr="003E0DC5">
              <w:rPr>
                <w:rFonts w:asciiTheme="majorHAnsi" w:hAnsiTheme="majorHAnsi" w:cstheme="majorHAnsi"/>
              </w:rPr>
              <w:t xml:space="preserve"> </w:t>
            </w:r>
          </w:p>
          <w:p w14:paraId="23A811E5" w14:textId="5B31FA8B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</w:p>
        </w:tc>
        <w:tc>
          <w:tcPr>
            <w:tcW w:w="7331" w:type="dxa"/>
            <w:tcBorders>
              <w:lef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3B299E34" w14:textId="15F939F0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Para estruturar seus processos e fazer a atividade de acreditação deve seguir a norma ABNT NBR ISO/IEC 17011 - Avaliação da conformidade - Requisitos gerais para os organismos de acreditação que realizam acreditação de organismos de avaliação de conformidade.</w:t>
            </w:r>
          </w:p>
        </w:tc>
      </w:tr>
      <w:tr w:rsidR="00E2336E" w:rsidRPr="003E0DC5" w14:paraId="1F06271F" w14:textId="77777777" w:rsidTr="007A65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tcBorders>
              <w:right w:val="none" w:sz="0" w:space="0" w:color="auto"/>
            </w:tcBorders>
            <w:vAlign w:val="center"/>
          </w:tcPr>
          <w:p w14:paraId="10DAD60B" w14:textId="58E4E9FE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3E0DC5">
              <w:rPr>
                <w:rFonts w:asciiTheme="majorHAnsi" w:hAnsiTheme="majorHAnsi" w:cstheme="majorHAnsi"/>
              </w:rPr>
              <w:t>Certificadoras</w:t>
            </w:r>
          </w:p>
        </w:tc>
        <w:tc>
          <w:tcPr>
            <w:tcW w:w="7331" w:type="dxa"/>
            <w:tcBorders>
              <w:left w:val="none" w:sz="0" w:space="0" w:color="auto"/>
            </w:tcBorders>
            <w:vAlign w:val="center"/>
          </w:tcPr>
          <w:p w14:paraId="07DF5D2C" w14:textId="15307864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A norma a ser seguida por certificadoras para fazer o trabalho de avaliação da conformidade é a ABNT NBR ISO/IEC 17065 -  Avaliação da conformidade — Requisitos para organismos de certificação de produtos, processos e serviços. As certificadoras são avaliadas pela CGCRE com base nesta norma.</w:t>
            </w:r>
          </w:p>
        </w:tc>
      </w:tr>
      <w:tr w:rsidR="00F74C22" w:rsidRPr="003E0DC5" w14:paraId="55AFF468" w14:textId="77777777" w:rsidTr="007A65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tcBorders>
              <w:righ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4A178456" w14:textId="77777777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3E0DC5">
              <w:rPr>
                <w:rFonts w:asciiTheme="majorHAnsi" w:hAnsiTheme="majorHAnsi" w:cstheme="majorHAnsi"/>
              </w:rPr>
              <w:t>Laboratórios</w:t>
            </w:r>
          </w:p>
        </w:tc>
        <w:tc>
          <w:tcPr>
            <w:tcW w:w="7331" w:type="dxa"/>
            <w:tcBorders>
              <w:left w:val="none" w:sz="0" w:space="0" w:color="auto"/>
            </w:tcBorders>
            <w:shd w:val="clear" w:color="auto" w:fill="F2F2F2" w:themeFill="background1" w:themeFillShade="F2"/>
            <w:vAlign w:val="center"/>
          </w:tcPr>
          <w:p w14:paraId="07ED0744" w14:textId="27659EE8" w:rsidR="007D23D6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A norma a ser seguida pelos laboratórios que fazem ensaios para avaliar produtos para saúde é a ABNT NBR ISO/IEC 17025 -  Requisitos gerais para a competência de laboratórios de ensaio e calibração. As certificadoras são avaliadas pela </w:t>
            </w:r>
            <w:proofErr w:type="spellStart"/>
            <w:r w:rsidR="003E0097" w:rsidRPr="003E0DC5">
              <w:rPr>
                <w:rFonts w:asciiTheme="majorHAnsi" w:hAnsiTheme="majorHAnsi" w:cstheme="majorHAnsi"/>
                <w:bCs/>
              </w:rPr>
              <w:t>C</w:t>
            </w:r>
            <w:r w:rsidR="003E0097">
              <w:rPr>
                <w:rFonts w:asciiTheme="majorHAnsi" w:hAnsiTheme="majorHAnsi" w:cstheme="majorHAnsi"/>
                <w:bCs/>
              </w:rPr>
              <w:t>gcre</w:t>
            </w:r>
            <w:proofErr w:type="spellEnd"/>
            <w:r w:rsidR="003E0097" w:rsidRPr="003E0DC5">
              <w:rPr>
                <w:rFonts w:asciiTheme="majorHAnsi" w:hAnsiTheme="majorHAnsi" w:cstheme="majorHAnsi"/>
                <w:bCs/>
              </w:rPr>
              <w:t xml:space="preserve"> </w:t>
            </w:r>
            <w:r w:rsidRPr="003E0DC5">
              <w:rPr>
                <w:rFonts w:asciiTheme="majorHAnsi" w:hAnsiTheme="majorHAnsi" w:cstheme="majorHAnsi"/>
                <w:bCs/>
              </w:rPr>
              <w:t>com base nesta norma.</w:t>
            </w:r>
            <w:r w:rsidR="00F74C22">
              <w:rPr>
                <w:rFonts w:asciiTheme="majorHAnsi" w:hAnsiTheme="majorHAnsi" w:cstheme="majorHAnsi"/>
                <w:bCs/>
              </w:rPr>
              <w:t xml:space="preserve"> </w:t>
            </w:r>
          </w:p>
          <w:p w14:paraId="56AEB8F4" w14:textId="2B3C601F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Para realizar os ensaios de avaliação da conformidade, os laboratórios devem seguir várias outras normas.</w:t>
            </w:r>
          </w:p>
          <w:p w14:paraId="27707360" w14:textId="4D2524EB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Para citar um exemplo considerando o caso de certificação de </w:t>
            </w:r>
            <w:r w:rsidRPr="00F74C22">
              <w:rPr>
                <w:rFonts w:asciiTheme="majorHAnsi" w:hAnsiTheme="majorHAnsi" w:cstheme="majorHAnsi"/>
                <w:b/>
                <w:bCs/>
                <w:color w:val="008080"/>
              </w:rPr>
              <w:t>AGULHAS</w:t>
            </w:r>
            <w:r w:rsidRPr="003E0DC5">
              <w:rPr>
                <w:rFonts w:asciiTheme="majorHAnsi" w:hAnsiTheme="majorHAnsi" w:cstheme="majorHAnsi"/>
                <w:bCs/>
              </w:rPr>
              <w:t xml:space="preserve">, podemos destacar as seguintes normas (citadas na Portaria do </w:t>
            </w:r>
            <w:r w:rsidR="00E46EBB">
              <w:rPr>
                <w:rFonts w:asciiTheme="majorHAnsi" w:hAnsiTheme="majorHAnsi" w:cstheme="majorHAnsi"/>
                <w:bCs/>
              </w:rPr>
              <w:t>Inmetro</w:t>
            </w:r>
            <w:r w:rsidRPr="003E0DC5">
              <w:rPr>
                <w:rFonts w:asciiTheme="majorHAnsi" w:hAnsiTheme="majorHAnsi" w:cstheme="majorHAnsi"/>
                <w:bCs/>
              </w:rPr>
              <w:t>, que torna a certificação compulsória) a serem seguidas:</w:t>
            </w:r>
          </w:p>
          <w:p w14:paraId="437A8AF4" w14:textId="55FCE080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ABNT NBR 5426</w:t>
            </w:r>
            <w:r w:rsidR="00F74C22">
              <w:rPr>
                <w:rFonts w:asciiTheme="majorHAnsi" w:hAnsiTheme="majorHAnsi" w:cstheme="majorHAnsi"/>
                <w:bCs/>
              </w:rPr>
              <w:t xml:space="preserve"> -</w:t>
            </w:r>
            <w:r w:rsidRPr="003E0DC5">
              <w:rPr>
                <w:rFonts w:asciiTheme="majorHAnsi" w:hAnsiTheme="majorHAnsi" w:cstheme="majorHAnsi"/>
                <w:bCs/>
              </w:rPr>
              <w:t xml:space="preserve"> Plano de Amostragem e Procedimentos da Inspeção por Atributos.</w:t>
            </w:r>
          </w:p>
          <w:p w14:paraId="613D77B3" w14:textId="77777777" w:rsidR="00F74C22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NBR ISO 7864 - Ensaios a serem realizados em agulhas hipodérmicas estéreis para uso único.</w:t>
            </w:r>
          </w:p>
          <w:p w14:paraId="3FE1D4DD" w14:textId="0E25E8C5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ISO 7885 - Ensaios a serem realizados em agulhas gengivais estéreis para uso único.</w:t>
            </w:r>
          </w:p>
        </w:tc>
      </w:tr>
      <w:tr w:rsidR="003E0DC5" w:rsidRPr="003E0DC5" w14:paraId="0BFF3EC5" w14:textId="77777777" w:rsidTr="007A65E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6" w:type="dxa"/>
            <w:tcBorders>
              <w:right w:val="none" w:sz="0" w:space="0" w:color="auto"/>
            </w:tcBorders>
            <w:vAlign w:val="center"/>
          </w:tcPr>
          <w:p w14:paraId="5A402D9E" w14:textId="77777777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Theme="majorHAnsi" w:hAnsiTheme="majorHAnsi" w:cstheme="majorHAnsi"/>
                <w:b w:val="0"/>
                <w:bCs w:val="0"/>
              </w:rPr>
            </w:pPr>
            <w:r w:rsidRPr="003E0DC5">
              <w:rPr>
                <w:rFonts w:asciiTheme="majorHAnsi" w:hAnsiTheme="majorHAnsi" w:cstheme="majorHAnsi"/>
              </w:rPr>
              <w:t>Fabricantes</w:t>
            </w:r>
          </w:p>
        </w:tc>
        <w:tc>
          <w:tcPr>
            <w:tcW w:w="7331" w:type="dxa"/>
            <w:tcBorders>
              <w:left w:val="none" w:sz="0" w:space="0" w:color="auto"/>
            </w:tcBorders>
            <w:vAlign w:val="center"/>
          </w:tcPr>
          <w:p w14:paraId="6A65F4E4" w14:textId="77777777" w:rsidR="00F74C22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Normalmente os fabricantes que estão no âmbito da avaliação da conformidade buscam seguir os requisitos da norma ABNT NBR ISO9001 - Sistemas de gestão da qualidade - Requisitos, pois esta norma engloba o atendimento de requisitos de gestão de outras normas que são aplicáveis no processo de avaliação de conformidade. </w:t>
            </w:r>
          </w:p>
          <w:p w14:paraId="413F8C11" w14:textId="6470C9DC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Algumas vezes os fabricantes buscam, inclusive, a certificação na ABNT NBR ISO 9001.No exemplo do caso das </w:t>
            </w:r>
            <w:r w:rsidRPr="00F74C22">
              <w:rPr>
                <w:rFonts w:asciiTheme="majorHAnsi" w:hAnsiTheme="majorHAnsi" w:cstheme="majorHAnsi"/>
                <w:b/>
                <w:bCs/>
                <w:color w:val="008080"/>
              </w:rPr>
              <w:t>AGULHAS</w:t>
            </w:r>
            <w:r w:rsidRPr="003E0DC5">
              <w:rPr>
                <w:rFonts w:asciiTheme="majorHAnsi" w:hAnsiTheme="majorHAnsi" w:cstheme="majorHAnsi"/>
                <w:bCs/>
              </w:rPr>
              <w:t xml:space="preserve">, o fabricante DEVE buscar a certificação </w:t>
            </w:r>
            <w:r w:rsidRPr="003E0DC5">
              <w:rPr>
                <w:rFonts w:asciiTheme="majorHAnsi" w:hAnsiTheme="majorHAnsi" w:cstheme="majorHAnsi"/>
                <w:bCs/>
              </w:rPr>
              <w:lastRenderedPageBreak/>
              <w:t>na norma ABNT NBR ISO 13485 Produtos para saúde – Sistemas de Gestão da Qualidade –</w:t>
            </w:r>
          </w:p>
          <w:p w14:paraId="46C1985F" w14:textId="730A0667" w:rsidR="003E0DC5" w:rsidRPr="003E0DC5" w:rsidRDefault="003E0DC5" w:rsidP="007A65ED">
            <w:pPr>
              <w:autoSpaceDE w:val="0"/>
              <w:autoSpaceDN w:val="0"/>
              <w:adjustRightInd w:val="0"/>
              <w:spacing w:before="120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 xml:space="preserve">Requisitos para fins regulamentares, que está citado no RAC da portaria do </w:t>
            </w:r>
            <w:r w:rsidR="00E46EBB">
              <w:rPr>
                <w:rFonts w:asciiTheme="majorHAnsi" w:hAnsiTheme="majorHAnsi" w:cstheme="majorHAnsi"/>
                <w:bCs/>
              </w:rPr>
              <w:t>Inmetro</w:t>
            </w:r>
            <w:r w:rsidRPr="003E0DC5">
              <w:rPr>
                <w:rFonts w:asciiTheme="majorHAnsi" w:hAnsiTheme="majorHAnsi" w:cstheme="majorHAnsi"/>
                <w:bCs/>
              </w:rPr>
              <w:t xml:space="preserve"> que trata deste Produto (Agulhas - ANEXO DA PORTARIA </w:t>
            </w:r>
            <w:r w:rsidR="00E46EBB">
              <w:rPr>
                <w:rFonts w:asciiTheme="majorHAnsi" w:hAnsiTheme="majorHAnsi" w:cstheme="majorHAnsi"/>
                <w:bCs/>
              </w:rPr>
              <w:t>Inmetro</w:t>
            </w:r>
            <w:r w:rsidRPr="003E0DC5">
              <w:rPr>
                <w:rFonts w:asciiTheme="majorHAnsi" w:hAnsiTheme="majorHAnsi" w:cstheme="majorHAnsi"/>
                <w:bCs/>
              </w:rPr>
              <w:t xml:space="preserve"> Nº 501/ 2011).</w:t>
            </w:r>
          </w:p>
        </w:tc>
      </w:tr>
    </w:tbl>
    <w:p w14:paraId="29DA7F6D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E5739C9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Também é interessante conhecer a norma ABNT NBR ISO/IEC 17000, que aborda os principais princípios e vocabulário utilizado no âmbito da avaliação da conformidade no mundo. </w:t>
      </w:r>
    </w:p>
    <w:p w14:paraId="3350AEE9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914E3BD" w14:textId="187E1C8E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F74C22">
        <w:rPr>
          <w:rFonts w:asciiTheme="majorHAnsi" w:hAnsiTheme="majorHAnsi" w:cstheme="majorHAnsi"/>
          <w:b/>
          <w:bCs/>
          <w:i/>
          <w:color w:val="008080"/>
        </w:rPr>
        <w:t xml:space="preserve">Perceba que as normas da ISO que começam o número “17xxx” </w:t>
      </w:r>
      <w:r w:rsidR="00B45E8A">
        <w:rPr>
          <w:rFonts w:asciiTheme="majorHAnsi" w:hAnsiTheme="majorHAnsi" w:cstheme="majorHAnsi"/>
          <w:b/>
          <w:bCs/>
          <w:i/>
          <w:color w:val="008080"/>
        </w:rPr>
        <w:t xml:space="preserve">(como a ISO </w:t>
      </w:r>
      <w:r w:rsidR="00B45E8A" w:rsidRPr="007A65ED">
        <w:rPr>
          <w:rFonts w:asciiTheme="majorHAnsi" w:hAnsiTheme="majorHAnsi" w:cstheme="majorHAnsi"/>
          <w:b/>
          <w:bCs/>
          <w:i/>
          <w:color w:val="008080"/>
          <w:u w:val="single"/>
        </w:rPr>
        <w:t>17</w:t>
      </w:r>
      <w:r w:rsidR="00B45E8A">
        <w:rPr>
          <w:rFonts w:asciiTheme="majorHAnsi" w:hAnsiTheme="majorHAnsi" w:cstheme="majorHAnsi"/>
          <w:b/>
          <w:bCs/>
          <w:i/>
          <w:color w:val="008080"/>
        </w:rPr>
        <w:t xml:space="preserve">025, por exemplo) </w:t>
      </w:r>
      <w:r w:rsidRPr="00F74C22">
        <w:rPr>
          <w:rFonts w:asciiTheme="majorHAnsi" w:hAnsiTheme="majorHAnsi" w:cstheme="majorHAnsi"/>
          <w:b/>
          <w:bCs/>
          <w:i/>
          <w:color w:val="008080"/>
        </w:rPr>
        <w:t xml:space="preserve">fazem parte da família de normas sobre AVALIAÇÃO DA CONFORMIDADE, em inglês chamado de </w:t>
      </w:r>
      <w:proofErr w:type="spellStart"/>
      <w:r w:rsidRPr="00F74C22">
        <w:rPr>
          <w:rFonts w:asciiTheme="majorHAnsi" w:hAnsiTheme="majorHAnsi" w:cstheme="majorHAnsi"/>
          <w:b/>
          <w:bCs/>
          <w:i/>
          <w:color w:val="008080"/>
        </w:rPr>
        <w:t>Conformity</w:t>
      </w:r>
      <w:proofErr w:type="spellEnd"/>
      <w:r w:rsidRPr="00F74C22">
        <w:rPr>
          <w:rFonts w:asciiTheme="majorHAnsi" w:hAnsiTheme="majorHAnsi" w:cstheme="majorHAnsi"/>
          <w:b/>
          <w:bCs/>
          <w:i/>
          <w:color w:val="008080"/>
        </w:rPr>
        <w:t xml:space="preserve"> </w:t>
      </w:r>
      <w:proofErr w:type="spellStart"/>
      <w:r w:rsidRPr="00F74C22">
        <w:rPr>
          <w:rFonts w:asciiTheme="majorHAnsi" w:hAnsiTheme="majorHAnsi" w:cstheme="majorHAnsi"/>
          <w:b/>
          <w:bCs/>
          <w:i/>
          <w:color w:val="008080"/>
        </w:rPr>
        <w:t>assessment</w:t>
      </w:r>
      <w:proofErr w:type="spellEnd"/>
      <w:r w:rsidRPr="00F74C22">
        <w:rPr>
          <w:rFonts w:asciiTheme="majorHAnsi" w:hAnsiTheme="majorHAnsi" w:cstheme="majorHAnsi"/>
          <w:b/>
          <w:bCs/>
          <w:i/>
          <w:color w:val="008080"/>
        </w:rPr>
        <w:t xml:space="preserve">. </w:t>
      </w:r>
    </w:p>
    <w:p w14:paraId="21718A7A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p w14:paraId="1BDA225F" w14:textId="5FD51C87" w:rsidR="003E0DC5" w:rsidRPr="003E0DC5" w:rsidRDefault="003E0DC5" w:rsidP="006B1C31">
      <w:pPr>
        <w:pStyle w:val="Ttulo1"/>
        <w:numPr>
          <w:ilvl w:val="0"/>
          <w:numId w:val="27"/>
        </w:numPr>
        <w:tabs>
          <w:tab w:val="left" w:pos="426"/>
        </w:tabs>
        <w:spacing w:before="0" w:after="0" w:line="360" w:lineRule="auto"/>
        <w:ind w:left="0" w:hanging="11"/>
        <w:jc w:val="both"/>
        <w:rPr>
          <w:rFonts w:asciiTheme="majorHAnsi" w:hAnsiTheme="majorHAnsi" w:cstheme="majorHAnsi"/>
        </w:rPr>
      </w:pPr>
      <w:bookmarkStart w:id="2" w:name="_Toc517895077"/>
      <w:r w:rsidRPr="003E0DC5">
        <w:rPr>
          <w:rFonts w:asciiTheme="majorHAnsi" w:hAnsiTheme="majorHAnsi" w:cstheme="majorHAnsi"/>
        </w:rPr>
        <w:t>Harmonização de critérios com outros países e benefícios da Normalização</w:t>
      </w:r>
      <w:bookmarkEnd w:id="2"/>
    </w:p>
    <w:p w14:paraId="1A6544E5" w14:textId="6008B0B3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7EDCD90" w14:textId="486FA329" w:rsidR="007D23D6" w:rsidRDefault="006B1C31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5168" behindDoc="0" locked="0" layoutInCell="1" allowOverlap="1" wp14:anchorId="374FBC92" wp14:editId="5AA765F7">
            <wp:simplePos x="0" y="0"/>
            <wp:positionH relativeFrom="column">
              <wp:posOffset>12065</wp:posOffset>
            </wp:positionH>
            <wp:positionV relativeFrom="paragraph">
              <wp:posOffset>75565</wp:posOffset>
            </wp:positionV>
            <wp:extent cx="2912110" cy="1790700"/>
            <wp:effectExtent l="0" t="0" r="2540" b="0"/>
            <wp:wrapSquare wrapText="bothSides"/>
            <wp:docPr id="12" name="Imagem 12" descr="http://prodsaude-entib.org.br/prodsaude/imagens/PS_ANVISA_A04_02_internacio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rodsaude-entib.org.br/prodsaude/imagens/PS_ANVISA_A04_02_internacion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DC5" w:rsidRPr="003E0DC5">
        <w:rPr>
          <w:rFonts w:asciiTheme="majorHAnsi" w:hAnsiTheme="majorHAnsi" w:cstheme="majorHAnsi"/>
          <w:bCs/>
        </w:rPr>
        <w:t xml:space="preserve">A normalização deve ser concebida com o pensamento de alinhamento internacional, ou seja, não vale a pena criar uma norma em um determinado país se já existe uma norma internacional completa que aborde este determinado assunto! </w:t>
      </w:r>
    </w:p>
    <w:p w14:paraId="46750A2A" w14:textId="77777777" w:rsidR="007D23D6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Por exemplo</w:t>
      </w:r>
      <w:r w:rsidR="007D23D6">
        <w:rPr>
          <w:rFonts w:asciiTheme="majorHAnsi" w:hAnsiTheme="majorHAnsi" w:cstheme="majorHAnsi"/>
          <w:bCs/>
        </w:rPr>
        <w:t>:</w:t>
      </w:r>
    </w:p>
    <w:p w14:paraId="3A10C960" w14:textId="2F7CD4C7" w:rsidR="003E0DC5" w:rsidRPr="003E0DC5" w:rsidRDefault="00F17202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Em se tratando de </w:t>
      </w:r>
      <w:r w:rsidRPr="003E0DC5">
        <w:rPr>
          <w:rFonts w:asciiTheme="majorHAnsi" w:hAnsiTheme="majorHAnsi" w:cstheme="majorHAnsi"/>
          <w:bCs/>
        </w:rPr>
        <w:t>próteses humanas</w:t>
      </w:r>
      <w:r>
        <w:rPr>
          <w:rFonts w:asciiTheme="majorHAnsi" w:hAnsiTheme="majorHAnsi" w:cstheme="majorHAnsi"/>
          <w:bCs/>
        </w:rPr>
        <w:t xml:space="preserve">, </w:t>
      </w:r>
      <w:r w:rsidR="003E0DC5" w:rsidRPr="003E0DC5">
        <w:rPr>
          <w:rFonts w:asciiTheme="majorHAnsi" w:hAnsiTheme="majorHAnsi" w:cstheme="majorHAnsi"/>
          <w:bCs/>
        </w:rPr>
        <w:t>é mais interessante adotar uma norma da ISO</w:t>
      </w:r>
      <w:r>
        <w:rPr>
          <w:rFonts w:asciiTheme="majorHAnsi" w:hAnsiTheme="majorHAnsi" w:cstheme="majorHAnsi"/>
          <w:bCs/>
        </w:rPr>
        <w:t>, que possui nível internacional,</w:t>
      </w:r>
      <w:r w:rsidR="003E0DC5" w:rsidRPr="003E0DC5">
        <w:rPr>
          <w:rFonts w:asciiTheme="majorHAnsi" w:hAnsiTheme="majorHAnsi" w:cstheme="majorHAnsi"/>
          <w:bCs/>
        </w:rPr>
        <w:t xml:space="preserve"> do que criar uma nova norma ABNT</w:t>
      </w:r>
      <w:r>
        <w:rPr>
          <w:rFonts w:asciiTheme="majorHAnsi" w:hAnsiTheme="majorHAnsi" w:cstheme="majorHAnsi"/>
          <w:bCs/>
        </w:rPr>
        <w:t xml:space="preserve">, </w:t>
      </w:r>
      <w:r w:rsidRPr="003E0DC5">
        <w:rPr>
          <w:rFonts w:asciiTheme="majorHAnsi" w:hAnsiTheme="majorHAnsi" w:cstheme="majorHAnsi"/>
          <w:bCs/>
        </w:rPr>
        <w:t>para este mesmo tema</w:t>
      </w:r>
      <w:r>
        <w:rPr>
          <w:rFonts w:asciiTheme="majorHAnsi" w:hAnsiTheme="majorHAnsi" w:cstheme="majorHAnsi"/>
          <w:bCs/>
        </w:rPr>
        <w:t>, que será</w:t>
      </w:r>
      <w:r w:rsidR="003E0DC5" w:rsidRPr="003E0DC5">
        <w:rPr>
          <w:rFonts w:asciiTheme="majorHAnsi" w:hAnsiTheme="majorHAnsi" w:cstheme="majorHAnsi"/>
          <w:bCs/>
        </w:rPr>
        <w:t xml:space="preserve"> aplicável apenas no Brasil</w:t>
      </w:r>
      <w:r>
        <w:rPr>
          <w:rFonts w:asciiTheme="majorHAnsi" w:hAnsiTheme="majorHAnsi" w:cstheme="majorHAnsi"/>
          <w:bCs/>
        </w:rPr>
        <w:t>.</w:t>
      </w:r>
    </w:p>
    <w:p w14:paraId="310A4CF4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33707C0" w14:textId="0A138B91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Quando a regulamentação </w:t>
      </w:r>
      <w:r w:rsidR="00F17202" w:rsidRPr="003E0DC5">
        <w:rPr>
          <w:rFonts w:asciiTheme="majorHAnsi" w:hAnsiTheme="majorHAnsi" w:cstheme="majorHAnsi"/>
          <w:bCs/>
        </w:rPr>
        <w:t>d</w:t>
      </w:r>
      <w:r w:rsidR="00F17202">
        <w:rPr>
          <w:rFonts w:asciiTheme="majorHAnsi" w:hAnsiTheme="majorHAnsi" w:cstheme="majorHAnsi"/>
          <w:bCs/>
        </w:rPr>
        <w:t>e um</w:t>
      </w:r>
      <w:r w:rsidR="00F17202" w:rsidRPr="003E0DC5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 xml:space="preserve">país embasa seus critérios técnicos em normas internacionais, </w:t>
      </w:r>
      <w:r w:rsidR="00F17202">
        <w:rPr>
          <w:rFonts w:asciiTheme="majorHAnsi" w:hAnsiTheme="majorHAnsi" w:cstheme="majorHAnsi"/>
          <w:bCs/>
        </w:rPr>
        <w:t xml:space="preserve">este país facilita </w:t>
      </w:r>
      <w:r w:rsidRPr="003E0DC5">
        <w:rPr>
          <w:rFonts w:asciiTheme="majorHAnsi" w:hAnsiTheme="majorHAnsi" w:cstheme="majorHAnsi"/>
          <w:bCs/>
        </w:rPr>
        <w:t>um posterior comércio d</w:t>
      </w:r>
      <w:r w:rsidR="00F17202">
        <w:rPr>
          <w:rFonts w:asciiTheme="majorHAnsi" w:hAnsiTheme="majorHAnsi" w:cstheme="majorHAnsi"/>
          <w:bCs/>
        </w:rPr>
        <w:t>e seus</w:t>
      </w:r>
      <w:r w:rsidRPr="003E0DC5">
        <w:rPr>
          <w:rFonts w:asciiTheme="majorHAnsi" w:hAnsiTheme="majorHAnsi" w:cstheme="majorHAnsi"/>
          <w:bCs/>
        </w:rPr>
        <w:t xml:space="preserve"> produtos em outros países! </w:t>
      </w:r>
    </w:p>
    <w:p w14:paraId="21314C29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B437AA9" w14:textId="2ADDF399" w:rsidR="003E0DC5" w:rsidRPr="003E0DC5" w:rsidRDefault="00F17202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Es</w:t>
      </w:r>
      <w:r>
        <w:rPr>
          <w:rFonts w:asciiTheme="majorHAnsi" w:hAnsiTheme="majorHAnsi" w:cstheme="majorHAnsi"/>
          <w:bCs/>
        </w:rPr>
        <w:t>t</w:t>
      </w:r>
      <w:r w:rsidRPr="003E0DC5">
        <w:rPr>
          <w:rFonts w:asciiTheme="majorHAnsi" w:hAnsiTheme="majorHAnsi" w:cstheme="majorHAnsi"/>
          <w:bCs/>
        </w:rPr>
        <w:t xml:space="preserve">e </w:t>
      </w:r>
      <w:r w:rsidR="003E0DC5" w:rsidRPr="003E0DC5">
        <w:rPr>
          <w:rFonts w:asciiTheme="majorHAnsi" w:hAnsiTheme="majorHAnsi" w:cstheme="majorHAnsi"/>
          <w:bCs/>
        </w:rPr>
        <w:t>é um dos principais benefícios da normalização, que visa dar suporte ao processo de regulamentação, harmonizando critérios técnicos em todo o mundo!</w:t>
      </w:r>
    </w:p>
    <w:p w14:paraId="66C5A751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6D8A7F5" w14:textId="1FD70619" w:rsidR="00F17202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Assim, existe um intercâmbio muito grande entre os países que participam do processo de normalização. </w:t>
      </w:r>
    </w:p>
    <w:p w14:paraId="47B0CD6E" w14:textId="3AF1606A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lastRenderedPageBreak/>
        <w:t>N</w:t>
      </w:r>
      <w:r w:rsidR="0002097A" w:rsidRPr="003E0DC5">
        <w:rPr>
          <w:rFonts w:asciiTheme="majorHAnsi" w:hAnsiTheme="majorHAnsi" w:cstheme="majorHAnsi"/>
          <w:bCs/>
        </w:rPr>
        <w:t xml:space="preserve">as discussões internacionais </w:t>
      </w:r>
      <w:r w:rsidR="0002097A">
        <w:rPr>
          <w:rFonts w:asciiTheme="majorHAnsi" w:hAnsiTheme="majorHAnsi" w:cstheme="majorHAnsi"/>
          <w:bCs/>
        </w:rPr>
        <w:t>realizadas n</w:t>
      </w:r>
      <w:r w:rsidRPr="003E0DC5">
        <w:rPr>
          <w:rFonts w:asciiTheme="majorHAnsi" w:hAnsiTheme="majorHAnsi" w:cstheme="majorHAnsi"/>
          <w:bCs/>
        </w:rPr>
        <w:t xml:space="preserve">a ISO, que fica em Genebra na </w:t>
      </w:r>
      <w:r w:rsidR="00640B26" w:rsidRPr="003E0DC5">
        <w:rPr>
          <w:rFonts w:asciiTheme="majorHAnsi" w:hAnsiTheme="majorHAnsi" w:cstheme="majorHAnsi"/>
          <w:bCs/>
        </w:rPr>
        <w:t>Suíça</w:t>
      </w:r>
      <w:r w:rsidRPr="003E0DC5">
        <w:rPr>
          <w:rFonts w:asciiTheme="majorHAnsi" w:hAnsiTheme="majorHAnsi" w:cstheme="majorHAnsi"/>
          <w:bCs/>
        </w:rPr>
        <w:t xml:space="preserve">, </w:t>
      </w:r>
      <w:r w:rsidR="0002097A">
        <w:rPr>
          <w:rFonts w:asciiTheme="majorHAnsi" w:hAnsiTheme="majorHAnsi" w:cstheme="majorHAnsi"/>
          <w:bCs/>
        </w:rPr>
        <w:t xml:space="preserve">o Brasil </w:t>
      </w:r>
      <w:r w:rsidRPr="003E0DC5">
        <w:rPr>
          <w:rFonts w:asciiTheme="majorHAnsi" w:hAnsiTheme="majorHAnsi" w:cstheme="majorHAnsi"/>
          <w:bCs/>
        </w:rPr>
        <w:t>é</w:t>
      </w:r>
      <w:r w:rsidR="0002097A">
        <w:rPr>
          <w:rFonts w:asciiTheme="majorHAnsi" w:hAnsiTheme="majorHAnsi" w:cstheme="majorHAnsi"/>
          <w:bCs/>
        </w:rPr>
        <w:t xml:space="preserve"> representado</w:t>
      </w:r>
      <w:r w:rsidRPr="003E0DC5">
        <w:rPr>
          <w:rFonts w:asciiTheme="majorHAnsi" w:hAnsiTheme="majorHAnsi" w:cstheme="majorHAnsi"/>
          <w:bCs/>
        </w:rPr>
        <w:t xml:space="preserve"> </w:t>
      </w:r>
      <w:r w:rsidR="0002097A">
        <w:rPr>
          <w:rFonts w:asciiTheme="majorHAnsi" w:hAnsiTheme="majorHAnsi" w:cstheme="majorHAnsi"/>
          <w:bCs/>
        </w:rPr>
        <w:t>pel</w:t>
      </w:r>
      <w:r w:rsidRPr="003E0DC5">
        <w:rPr>
          <w:rFonts w:asciiTheme="majorHAnsi" w:hAnsiTheme="majorHAnsi" w:cstheme="majorHAnsi"/>
          <w:bCs/>
        </w:rPr>
        <w:t>a ABNT</w:t>
      </w:r>
      <w:r w:rsidR="0002097A">
        <w:rPr>
          <w:rFonts w:asciiTheme="majorHAnsi" w:hAnsiTheme="majorHAnsi" w:cstheme="majorHAnsi"/>
          <w:bCs/>
        </w:rPr>
        <w:t>.</w:t>
      </w:r>
      <w:r w:rsidRPr="003E0DC5">
        <w:rPr>
          <w:rFonts w:asciiTheme="majorHAnsi" w:hAnsiTheme="majorHAnsi" w:cstheme="majorHAnsi"/>
          <w:bCs/>
        </w:rPr>
        <w:t xml:space="preserve"> Assim, estamos participando das principais decisões e discussões técnicas acerca da normalização no mundo.</w:t>
      </w:r>
    </w:p>
    <w:p w14:paraId="64C5CA3A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2EC0809" w14:textId="0D537FEE" w:rsidR="003E0DC5" w:rsidRPr="003E0DC5" w:rsidRDefault="0002097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A </w:t>
      </w:r>
      <w:r w:rsidR="003E0DC5" w:rsidRPr="003E0DC5">
        <w:rPr>
          <w:rFonts w:asciiTheme="majorHAnsi" w:hAnsiTheme="majorHAnsi" w:cstheme="majorHAnsi"/>
          <w:bCs/>
        </w:rPr>
        <w:t>figura a seguir, ilustra um diagrama que demonstra estas relações.</w:t>
      </w:r>
    </w:p>
    <w:p w14:paraId="1D62513D" w14:textId="769D3B3A" w:rsidR="003E0DC5" w:rsidRPr="003E0DC5" w:rsidRDefault="006B1C31" w:rsidP="006B1C31">
      <w:pPr>
        <w:autoSpaceDE w:val="0"/>
        <w:autoSpaceDN w:val="0"/>
        <w:adjustRightInd w:val="0"/>
        <w:spacing w:after="0" w:line="360" w:lineRule="auto"/>
        <w:ind w:left="-142"/>
        <w:jc w:val="center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inline distT="0" distB="0" distL="0" distR="0" wp14:anchorId="69F32104" wp14:editId="65BFCE94">
            <wp:extent cx="5579745" cy="4782639"/>
            <wp:effectExtent l="133350" t="114300" r="154305" b="151765"/>
            <wp:docPr id="13" name="Imagem 13" descr="http://prodsaude-entib.org.br/prodsaude/imagens/PS_ANVISA_A4_02_relaco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rodsaude-entib.org.br/prodsaude/imagens/PS_ANVISA_A4_02_relaco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47826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0FCEB12" w14:textId="77777777" w:rsidR="005E5FFB" w:rsidRDefault="005E5FFB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640830A" w14:textId="060D5820" w:rsidR="0002097A" w:rsidRDefault="0002097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E</w:t>
      </w:r>
      <w:r w:rsidR="003E0DC5" w:rsidRPr="003E0DC5">
        <w:rPr>
          <w:rFonts w:asciiTheme="majorHAnsi" w:hAnsiTheme="majorHAnsi" w:cstheme="majorHAnsi"/>
          <w:bCs/>
        </w:rPr>
        <w:t>xistem</w:t>
      </w:r>
      <w:r>
        <w:rPr>
          <w:rFonts w:asciiTheme="majorHAnsi" w:hAnsiTheme="majorHAnsi" w:cstheme="majorHAnsi"/>
          <w:bCs/>
        </w:rPr>
        <w:t>, também,</w:t>
      </w:r>
      <w:r w:rsidR="003E0DC5" w:rsidRPr="003E0DC5">
        <w:rPr>
          <w:rFonts w:asciiTheme="majorHAnsi" w:hAnsiTheme="majorHAnsi" w:cstheme="majorHAnsi"/>
          <w:bCs/>
        </w:rPr>
        <w:t xml:space="preserve"> outros </w:t>
      </w:r>
      <w:r w:rsidR="003E0DC5" w:rsidRPr="003E0DC5">
        <w:rPr>
          <w:rFonts w:asciiTheme="majorHAnsi" w:hAnsiTheme="majorHAnsi" w:cstheme="majorHAnsi"/>
          <w:bCs/>
          <w:u w:val="single"/>
        </w:rPr>
        <w:t>benefícios da normalização</w:t>
      </w:r>
      <w:r w:rsidR="003E0DC5" w:rsidRPr="003E0DC5">
        <w:rPr>
          <w:rFonts w:asciiTheme="majorHAnsi" w:hAnsiTheme="majorHAnsi" w:cstheme="majorHAnsi"/>
          <w:bCs/>
        </w:rPr>
        <w:t xml:space="preserve"> em relação a vários fatores</w:t>
      </w:r>
      <w:r>
        <w:rPr>
          <w:rFonts w:asciiTheme="majorHAnsi" w:hAnsiTheme="majorHAnsi" w:cstheme="majorHAnsi"/>
          <w:bCs/>
        </w:rPr>
        <w:t>.</w:t>
      </w:r>
    </w:p>
    <w:p w14:paraId="1F1109AF" w14:textId="07B6D3C8" w:rsidR="003E0DC5" w:rsidRDefault="0002097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Veja a seguir:</w:t>
      </w:r>
    </w:p>
    <w:p w14:paraId="33F7A794" w14:textId="77777777" w:rsidR="0002097A" w:rsidRPr="003E0DC5" w:rsidRDefault="0002097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28D958B" w14:textId="48FA6A4A" w:rsidR="003E0DC5" w:rsidRPr="00FE28E3" w:rsidRDefault="003E0DC5" w:rsidP="00FE28E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349"/>
        <w:jc w:val="both"/>
        <w:rPr>
          <w:rFonts w:asciiTheme="majorHAnsi" w:hAnsiTheme="majorHAnsi" w:cstheme="majorHAnsi"/>
          <w:bCs/>
        </w:rPr>
      </w:pPr>
      <w:r w:rsidRPr="00FE28E3">
        <w:rPr>
          <w:rFonts w:asciiTheme="majorHAnsi" w:hAnsiTheme="majorHAnsi" w:cstheme="majorHAnsi"/>
          <w:b/>
          <w:bCs/>
        </w:rPr>
        <w:t>Economia</w:t>
      </w:r>
      <w:r w:rsidRPr="00FE28E3">
        <w:rPr>
          <w:rFonts w:asciiTheme="majorHAnsi" w:hAnsiTheme="majorHAnsi" w:cstheme="majorHAnsi"/>
          <w:bCs/>
        </w:rPr>
        <w:t>: proporcionar a redução da crescente variedade de produtos e procedimentos</w:t>
      </w:r>
      <w:r w:rsidR="00BD61D6" w:rsidRPr="00FE28E3">
        <w:rPr>
          <w:rFonts w:asciiTheme="majorHAnsi" w:hAnsiTheme="majorHAnsi" w:cstheme="majorHAnsi"/>
          <w:bCs/>
        </w:rPr>
        <w:t xml:space="preserve"> de avaliação da conformidade</w:t>
      </w:r>
      <w:r w:rsidRPr="00FE28E3">
        <w:rPr>
          <w:rFonts w:asciiTheme="majorHAnsi" w:hAnsiTheme="majorHAnsi" w:cstheme="majorHAnsi"/>
          <w:bCs/>
        </w:rPr>
        <w:t xml:space="preserve">, resultando em economia </w:t>
      </w:r>
      <w:r w:rsidR="00BD61D6" w:rsidRPr="00FE28E3">
        <w:rPr>
          <w:rFonts w:asciiTheme="majorHAnsi" w:hAnsiTheme="majorHAnsi" w:cstheme="majorHAnsi"/>
          <w:bCs/>
        </w:rPr>
        <w:t>monetária</w:t>
      </w:r>
      <w:r w:rsidRPr="00FE28E3">
        <w:rPr>
          <w:rFonts w:asciiTheme="majorHAnsi" w:hAnsiTheme="majorHAnsi" w:cstheme="majorHAnsi"/>
          <w:bCs/>
        </w:rPr>
        <w:t>.</w:t>
      </w:r>
    </w:p>
    <w:p w14:paraId="1F202542" w14:textId="1E924C70" w:rsidR="003E0DC5" w:rsidRPr="00FE28E3" w:rsidRDefault="003E0DC5" w:rsidP="00FE28E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  <w:r w:rsidRPr="00FE28E3">
        <w:rPr>
          <w:rFonts w:asciiTheme="majorHAnsi" w:hAnsiTheme="majorHAnsi" w:cstheme="majorHAnsi"/>
          <w:b/>
          <w:bCs/>
        </w:rPr>
        <w:t>Comunicação</w:t>
      </w:r>
      <w:r w:rsidRPr="00FE28E3">
        <w:rPr>
          <w:rFonts w:asciiTheme="majorHAnsi" w:hAnsiTheme="majorHAnsi" w:cstheme="majorHAnsi"/>
          <w:bCs/>
        </w:rPr>
        <w:t xml:space="preserve">: promover </w:t>
      </w:r>
      <w:r w:rsidR="00BD61D6" w:rsidRPr="00FE28E3">
        <w:rPr>
          <w:rFonts w:asciiTheme="majorHAnsi" w:hAnsiTheme="majorHAnsi" w:cstheme="majorHAnsi"/>
          <w:bCs/>
        </w:rPr>
        <w:t>uma melhor</w:t>
      </w:r>
      <w:r w:rsidRPr="00FE28E3">
        <w:rPr>
          <w:rFonts w:asciiTheme="majorHAnsi" w:hAnsiTheme="majorHAnsi" w:cstheme="majorHAnsi"/>
          <w:bCs/>
        </w:rPr>
        <w:t xml:space="preserve"> troca de informações entre os fabricantes e os clientes, </w:t>
      </w:r>
      <w:r w:rsidR="00E31419" w:rsidRPr="00FE28E3">
        <w:rPr>
          <w:rFonts w:asciiTheme="majorHAnsi" w:hAnsiTheme="majorHAnsi" w:cstheme="majorHAnsi"/>
          <w:bCs/>
        </w:rPr>
        <w:t>bem como com a sociedade em geral</w:t>
      </w:r>
      <w:r w:rsidRPr="00FE28E3">
        <w:rPr>
          <w:rFonts w:asciiTheme="majorHAnsi" w:hAnsiTheme="majorHAnsi" w:cstheme="majorHAnsi"/>
          <w:bCs/>
        </w:rPr>
        <w:t>.</w:t>
      </w:r>
    </w:p>
    <w:p w14:paraId="178C8ACD" w14:textId="6D8B24D3" w:rsidR="003E0DC5" w:rsidRPr="00FE28E3" w:rsidRDefault="003E0DC5" w:rsidP="00FE28E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  <w:r w:rsidRPr="00FE28E3">
        <w:rPr>
          <w:rFonts w:asciiTheme="majorHAnsi" w:hAnsiTheme="majorHAnsi" w:cstheme="majorHAnsi"/>
          <w:b/>
          <w:bCs/>
        </w:rPr>
        <w:t>Segurança</w:t>
      </w:r>
      <w:r w:rsidRPr="00FE28E3">
        <w:rPr>
          <w:rFonts w:asciiTheme="majorHAnsi" w:hAnsiTheme="majorHAnsi" w:cstheme="majorHAnsi"/>
          <w:bCs/>
        </w:rPr>
        <w:t xml:space="preserve">: proteger </w:t>
      </w:r>
      <w:r w:rsidR="00E31419" w:rsidRPr="00FE28E3">
        <w:rPr>
          <w:rFonts w:asciiTheme="majorHAnsi" w:hAnsiTheme="majorHAnsi" w:cstheme="majorHAnsi"/>
          <w:bCs/>
        </w:rPr>
        <w:t>os usuários contra acidentes ou problemas na saúde</w:t>
      </w:r>
      <w:r w:rsidRPr="00FE28E3">
        <w:rPr>
          <w:rFonts w:asciiTheme="majorHAnsi" w:hAnsiTheme="majorHAnsi" w:cstheme="majorHAnsi"/>
          <w:bCs/>
        </w:rPr>
        <w:t>.</w:t>
      </w:r>
    </w:p>
    <w:p w14:paraId="22A8C2B7" w14:textId="65237461" w:rsidR="003E0DC5" w:rsidRPr="00FE28E3" w:rsidRDefault="003E0DC5" w:rsidP="00FE28E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  <w:r w:rsidRPr="00FE28E3">
        <w:rPr>
          <w:rFonts w:asciiTheme="majorHAnsi" w:hAnsiTheme="majorHAnsi" w:cstheme="majorHAnsi"/>
          <w:b/>
          <w:bCs/>
        </w:rPr>
        <w:lastRenderedPageBreak/>
        <w:t>Simplificação</w:t>
      </w:r>
      <w:r w:rsidRPr="00FE28E3">
        <w:rPr>
          <w:rFonts w:asciiTheme="majorHAnsi" w:hAnsiTheme="majorHAnsi" w:cstheme="majorHAnsi"/>
          <w:bCs/>
        </w:rPr>
        <w:t xml:space="preserve">: reduzir a crescente variedade de procedimentos </w:t>
      </w:r>
      <w:r w:rsidR="00E31419" w:rsidRPr="00FE28E3">
        <w:rPr>
          <w:rFonts w:asciiTheme="majorHAnsi" w:hAnsiTheme="majorHAnsi" w:cstheme="majorHAnsi"/>
          <w:bCs/>
        </w:rPr>
        <w:t xml:space="preserve">de avaliação da conformidade </w:t>
      </w:r>
      <w:r w:rsidRPr="00FE28E3">
        <w:rPr>
          <w:rFonts w:asciiTheme="majorHAnsi" w:hAnsiTheme="majorHAnsi" w:cstheme="majorHAnsi"/>
          <w:bCs/>
        </w:rPr>
        <w:t>e tipos de produtos.</w:t>
      </w:r>
    </w:p>
    <w:p w14:paraId="7DF005EF" w14:textId="0E109F14" w:rsidR="003E0DC5" w:rsidRPr="00FE28E3" w:rsidRDefault="003E0DC5" w:rsidP="00FE28E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  <w:r w:rsidRPr="00FE28E3">
        <w:rPr>
          <w:rFonts w:asciiTheme="majorHAnsi" w:hAnsiTheme="majorHAnsi" w:cstheme="majorHAnsi"/>
          <w:b/>
          <w:bCs/>
        </w:rPr>
        <w:t>Proteção ao consumidor</w:t>
      </w:r>
      <w:r w:rsidRPr="00FE28E3">
        <w:rPr>
          <w:rFonts w:asciiTheme="majorHAnsi" w:hAnsiTheme="majorHAnsi" w:cstheme="majorHAnsi"/>
          <w:bCs/>
        </w:rPr>
        <w:t xml:space="preserve">: ampliar a qualidade de produtos e serviços </w:t>
      </w:r>
      <w:r w:rsidR="00E31419" w:rsidRPr="00FE28E3">
        <w:rPr>
          <w:rFonts w:asciiTheme="majorHAnsi" w:hAnsiTheme="majorHAnsi" w:cstheme="majorHAnsi"/>
          <w:bCs/>
        </w:rPr>
        <w:t xml:space="preserve">confiáveis </w:t>
      </w:r>
      <w:r w:rsidRPr="00FE28E3">
        <w:rPr>
          <w:rFonts w:asciiTheme="majorHAnsi" w:hAnsiTheme="majorHAnsi" w:cstheme="majorHAnsi"/>
          <w:bCs/>
        </w:rPr>
        <w:t>e defender os interesses dos consumidores.</w:t>
      </w:r>
    </w:p>
    <w:p w14:paraId="092BACC8" w14:textId="2F3035D2" w:rsidR="003E0DC5" w:rsidRPr="00FE28E3" w:rsidRDefault="003E0DC5" w:rsidP="00FE28E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  <w:r w:rsidRPr="00FE28E3">
        <w:rPr>
          <w:rFonts w:asciiTheme="majorHAnsi" w:hAnsiTheme="majorHAnsi" w:cstheme="majorHAnsi"/>
          <w:b/>
          <w:bCs/>
        </w:rPr>
        <w:t xml:space="preserve">Desenvolvimento sustentável: </w:t>
      </w:r>
      <w:r w:rsidRPr="00FE28E3">
        <w:rPr>
          <w:rFonts w:asciiTheme="majorHAnsi" w:hAnsiTheme="majorHAnsi" w:cstheme="majorHAnsi"/>
          <w:bCs/>
        </w:rPr>
        <w:t>desenvolver métodos para avaliação de impactos ambientais, sociais e econômicos e ferramentas para mitigação d</w:t>
      </w:r>
      <w:r w:rsidR="00E31419" w:rsidRPr="00FE28E3">
        <w:rPr>
          <w:rFonts w:asciiTheme="majorHAnsi" w:hAnsiTheme="majorHAnsi" w:cstheme="majorHAnsi"/>
          <w:bCs/>
        </w:rPr>
        <w:t>os riscos que podem gerar est</w:t>
      </w:r>
      <w:r w:rsidR="00FE28E3" w:rsidRPr="00FE28E3">
        <w:rPr>
          <w:rFonts w:asciiTheme="majorHAnsi" w:hAnsiTheme="majorHAnsi" w:cstheme="majorHAnsi"/>
          <w:bCs/>
        </w:rPr>
        <w:t>e</w:t>
      </w:r>
      <w:r w:rsidR="00E31419" w:rsidRPr="00FE28E3">
        <w:rPr>
          <w:rFonts w:asciiTheme="majorHAnsi" w:hAnsiTheme="majorHAnsi" w:cstheme="majorHAnsi"/>
          <w:bCs/>
        </w:rPr>
        <w:t>s impactos</w:t>
      </w:r>
      <w:r w:rsidR="00FE28E3" w:rsidRPr="00FE28E3">
        <w:rPr>
          <w:rFonts w:asciiTheme="majorHAnsi" w:hAnsiTheme="majorHAnsi" w:cstheme="majorHAnsi"/>
          <w:bCs/>
        </w:rPr>
        <w:t>.</w:t>
      </w:r>
    </w:p>
    <w:p w14:paraId="6B902AD4" w14:textId="678D89C3" w:rsidR="003E0DC5" w:rsidRPr="00FE28E3" w:rsidRDefault="003E0DC5" w:rsidP="00FE28E3">
      <w:pPr>
        <w:tabs>
          <w:tab w:val="left" w:pos="709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Theme="majorHAnsi" w:hAnsiTheme="majorHAnsi" w:cstheme="majorHAnsi"/>
          <w:bCs/>
        </w:rPr>
      </w:pPr>
      <w:r w:rsidRPr="00FE28E3">
        <w:rPr>
          <w:rFonts w:asciiTheme="majorHAnsi" w:hAnsiTheme="majorHAnsi" w:cstheme="majorHAnsi"/>
          <w:b/>
          <w:bCs/>
        </w:rPr>
        <w:t>Eliminação de barreiras técnicas e comerciais:</w:t>
      </w:r>
      <w:r w:rsidRPr="00FE28E3">
        <w:rPr>
          <w:rFonts w:asciiTheme="majorHAnsi" w:hAnsiTheme="majorHAnsi" w:cstheme="majorHAnsi"/>
          <w:bCs/>
        </w:rPr>
        <w:t xml:space="preserve"> evitar a existência de regulamentos conflitantes</w:t>
      </w:r>
      <w:r w:rsidR="00E31419" w:rsidRPr="00FE28E3">
        <w:rPr>
          <w:rFonts w:asciiTheme="majorHAnsi" w:hAnsiTheme="majorHAnsi" w:cstheme="majorHAnsi"/>
          <w:bCs/>
        </w:rPr>
        <w:t xml:space="preserve"> e divergentes</w:t>
      </w:r>
      <w:r w:rsidRPr="00FE28E3">
        <w:rPr>
          <w:rFonts w:asciiTheme="majorHAnsi" w:hAnsiTheme="majorHAnsi" w:cstheme="majorHAnsi"/>
          <w:bCs/>
        </w:rPr>
        <w:t xml:space="preserve"> sobre produtos e serviços em diferentes países, facilitando o </w:t>
      </w:r>
      <w:r w:rsidR="00E31419" w:rsidRPr="00FE28E3">
        <w:rPr>
          <w:rFonts w:asciiTheme="majorHAnsi" w:hAnsiTheme="majorHAnsi" w:cstheme="majorHAnsi"/>
          <w:bCs/>
        </w:rPr>
        <w:t>comércio internacional</w:t>
      </w:r>
      <w:r w:rsidR="00FE28E3" w:rsidRPr="00FE28E3">
        <w:rPr>
          <w:rFonts w:asciiTheme="majorHAnsi" w:hAnsiTheme="majorHAnsi" w:cstheme="majorHAnsi"/>
          <w:bCs/>
        </w:rPr>
        <w:t>.</w:t>
      </w:r>
    </w:p>
    <w:p w14:paraId="14C7ED5F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21F9B4E" w14:textId="73F5F85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De acordo com a ABNT, a normalização também é utilizada cada vez mais como um meio para alcançar a diminuição dos custos da produção e do produto final, mantendo e/ou melhorando sua qualidade e desempenho, aumentando dessa forma a competitividade das organizações que têm seus processos e sistemas normalizados.</w:t>
      </w:r>
    </w:p>
    <w:p w14:paraId="0AC0C7FF" w14:textId="77777777" w:rsidR="00E2336E" w:rsidRDefault="00E2336E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0195DD86" w14:textId="45D64EA9" w:rsidR="003E0DC5" w:rsidRPr="003E0DC5" w:rsidRDefault="006B1C31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53EA9EAA" wp14:editId="22E503C6">
            <wp:simplePos x="0" y="0"/>
            <wp:positionH relativeFrom="column">
              <wp:posOffset>-635</wp:posOffset>
            </wp:positionH>
            <wp:positionV relativeFrom="paragraph">
              <wp:posOffset>-5715</wp:posOffset>
            </wp:positionV>
            <wp:extent cx="2755900" cy="2425700"/>
            <wp:effectExtent l="0" t="0" r="6350" b="0"/>
            <wp:wrapSquare wrapText="bothSides"/>
            <wp:docPr id="14" name="Imagem 14" descr="http://prodsaude-entib.org.br/prodsaude/imagens/PS_ANVISA_A4_2.1_mart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dsaude-entib.org.br/prodsaude/imagens/PS_ANVISA_A4_2.1_martel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0DC5">
        <w:rPr>
          <w:rFonts w:asciiTheme="majorHAnsi" w:hAnsiTheme="majorHAnsi" w:cstheme="majorHAnsi"/>
          <w:bCs/>
        </w:rPr>
        <w:t xml:space="preserve"> </w:t>
      </w:r>
      <w:r w:rsidR="003E0DC5" w:rsidRPr="003E0DC5">
        <w:rPr>
          <w:rFonts w:asciiTheme="majorHAnsi" w:hAnsiTheme="majorHAnsi" w:cstheme="majorHAnsi"/>
          <w:bCs/>
        </w:rPr>
        <w:t>Cabe destacar que em diversos países há obrigatoriedade de seguir normas, pelo menos em algumas áreas (</w:t>
      </w:r>
      <w:r w:rsidR="0002097A">
        <w:rPr>
          <w:rFonts w:asciiTheme="majorHAnsi" w:hAnsiTheme="majorHAnsi" w:cstheme="majorHAnsi"/>
          <w:bCs/>
        </w:rPr>
        <w:t>no Brasil</w:t>
      </w:r>
      <w:r w:rsidR="003E0DC5" w:rsidRPr="003E0DC5">
        <w:rPr>
          <w:rFonts w:asciiTheme="majorHAnsi" w:hAnsiTheme="majorHAnsi" w:cstheme="majorHAnsi"/>
          <w:bCs/>
        </w:rPr>
        <w:t>, o Código de Defesa do Consumidor</w:t>
      </w:r>
      <w:r w:rsidR="008C3FA0">
        <w:rPr>
          <w:rFonts w:asciiTheme="majorHAnsi" w:hAnsiTheme="majorHAnsi" w:cstheme="majorHAnsi"/>
          <w:bCs/>
        </w:rPr>
        <w:t xml:space="preserve"> é um destes casos</w:t>
      </w:r>
      <w:r w:rsidR="003E0DC5" w:rsidRPr="003E0DC5">
        <w:rPr>
          <w:rFonts w:asciiTheme="majorHAnsi" w:hAnsiTheme="majorHAnsi" w:cstheme="majorHAnsi"/>
          <w:bCs/>
        </w:rPr>
        <w:t>).</w:t>
      </w:r>
    </w:p>
    <w:p w14:paraId="6D601D84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1B5947DE" w14:textId="33CC6119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Por outro lado, </w:t>
      </w:r>
      <w:proofErr w:type="spellStart"/>
      <w:r w:rsidRPr="003E0DC5">
        <w:rPr>
          <w:rFonts w:asciiTheme="majorHAnsi" w:hAnsiTheme="majorHAnsi" w:cstheme="majorHAnsi"/>
          <w:bCs/>
        </w:rPr>
        <w:t>fornecer</w:t>
      </w:r>
      <w:proofErr w:type="spellEnd"/>
      <w:r w:rsidRPr="003E0DC5">
        <w:rPr>
          <w:rFonts w:asciiTheme="majorHAnsi" w:hAnsiTheme="majorHAnsi" w:cstheme="majorHAnsi"/>
          <w:bCs/>
        </w:rPr>
        <w:t xml:space="preserve"> um produto que não siga a norma aplicável no mercado-alvo implica esforços adicionais para introduzi-lo nesse mercado, que incluem a necessidade de demonstrar</w:t>
      </w:r>
      <w:r w:rsidR="008C3FA0">
        <w:rPr>
          <w:rFonts w:asciiTheme="majorHAnsi" w:hAnsiTheme="majorHAnsi" w:cstheme="majorHAnsi"/>
          <w:bCs/>
        </w:rPr>
        <w:t>,</w:t>
      </w:r>
      <w:r w:rsidRPr="003E0DC5">
        <w:rPr>
          <w:rFonts w:asciiTheme="majorHAnsi" w:hAnsiTheme="majorHAnsi" w:cstheme="majorHAnsi"/>
          <w:bCs/>
        </w:rPr>
        <w:t xml:space="preserve"> de forma convincente</w:t>
      </w:r>
      <w:r w:rsidR="008C3FA0">
        <w:rPr>
          <w:rFonts w:asciiTheme="majorHAnsi" w:hAnsiTheme="majorHAnsi" w:cstheme="majorHAnsi"/>
          <w:bCs/>
        </w:rPr>
        <w:t>,</w:t>
      </w:r>
      <w:r w:rsidRPr="003E0DC5">
        <w:rPr>
          <w:rFonts w:asciiTheme="majorHAnsi" w:hAnsiTheme="majorHAnsi" w:cstheme="majorHAnsi"/>
          <w:bCs/>
        </w:rPr>
        <w:t xml:space="preserve"> que o produto atende às necessidades do cliente e</w:t>
      </w:r>
      <w:r w:rsidR="008C3FA0">
        <w:rPr>
          <w:rFonts w:asciiTheme="majorHAnsi" w:hAnsiTheme="majorHAnsi" w:cstheme="majorHAnsi"/>
          <w:bCs/>
        </w:rPr>
        <w:t>, também,</w:t>
      </w:r>
      <w:r w:rsidRPr="003E0DC5">
        <w:rPr>
          <w:rFonts w:asciiTheme="majorHAnsi" w:hAnsiTheme="majorHAnsi" w:cstheme="majorHAnsi"/>
          <w:bCs/>
        </w:rPr>
        <w:t xml:space="preserve"> de assegurar que questões como </w:t>
      </w:r>
      <w:proofErr w:type="spellStart"/>
      <w:r w:rsidRPr="003E0DC5">
        <w:rPr>
          <w:rFonts w:asciiTheme="majorHAnsi" w:hAnsiTheme="majorHAnsi" w:cstheme="majorHAnsi"/>
          <w:bCs/>
        </w:rPr>
        <w:t>intercambialidade</w:t>
      </w:r>
      <w:proofErr w:type="spellEnd"/>
      <w:r w:rsidRPr="003E0DC5">
        <w:rPr>
          <w:rFonts w:asciiTheme="majorHAnsi" w:hAnsiTheme="majorHAnsi" w:cstheme="majorHAnsi"/>
          <w:bCs/>
        </w:rPr>
        <w:t xml:space="preserve"> de componentes e insumos não representarão um impedimento ou dificuldade adicional</w:t>
      </w:r>
      <w:r w:rsidR="00E31419">
        <w:rPr>
          <w:rFonts w:asciiTheme="majorHAnsi" w:hAnsiTheme="majorHAnsi" w:cstheme="majorHAnsi"/>
          <w:bCs/>
        </w:rPr>
        <w:t xml:space="preserve"> (ABNT, 2018)</w:t>
      </w:r>
      <w:r w:rsidRPr="003E0DC5">
        <w:rPr>
          <w:rFonts w:asciiTheme="majorHAnsi" w:hAnsiTheme="majorHAnsi" w:cstheme="majorHAnsi"/>
          <w:bCs/>
        </w:rPr>
        <w:t>.</w:t>
      </w:r>
    </w:p>
    <w:p w14:paraId="4B26D8DA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4F15AD2" w14:textId="309643C8" w:rsidR="008C3FA0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Do ponto de vista legal, em muitos mercados, quando não é seguida a norma aplicável, o fornecedor </w:t>
      </w:r>
      <w:r w:rsidR="008C3FA0">
        <w:rPr>
          <w:rFonts w:asciiTheme="majorHAnsi" w:hAnsiTheme="majorHAnsi" w:cstheme="majorHAnsi"/>
          <w:bCs/>
        </w:rPr>
        <w:t>possui</w:t>
      </w:r>
      <w:r w:rsidR="008C3FA0" w:rsidRPr="003E0DC5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>responsabilidades adicionais sobre o uso do produto.</w:t>
      </w:r>
    </w:p>
    <w:p w14:paraId="15F6554B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7ED3590" w14:textId="77777777" w:rsidR="008C3FA0" w:rsidRDefault="008C3FA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O que podemos entender de tudo isto?</w:t>
      </w:r>
    </w:p>
    <w:p w14:paraId="13F56320" w14:textId="77777777" w:rsidR="008C3FA0" w:rsidRDefault="008C3FA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1B91A35" w14:textId="6E64A946" w:rsidR="008C3FA0" w:rsidRDefault="008C3FA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lastRenderedPageBreak/>
        <w:t>Bom, q</w:t>
      </w:r>
      <w:r w:rsidR="003E0DC5" w:rsidRPr="003E0DC5">
        <w:rPr>
          <w:rFonts w:asciiTheme="majorHAnsi" w:hAnsiTheme="majorHAnsi" w:cstheme="majorHAnsi"/>
          <w:bCs/>
        </w:rPr>
        <w:t xml:space="preserve">uando os produtos e serviços atendem às nossas expectativas, tendemos a tomar </w:t>
      </w:r>
      <w:r w:rsidRPr="003E0DC5">
        <w:rPr>
          <w:rFonts w:asciiTheme="majorHAnsi" w:hAnsiTheme="majorHAnsi" w:cstheme="majorHAnsi"/>
          <w:bCs/>
        </w:rPr>
        <w:t>is</w:t>
      </w:r>
      <w:r>
        <w:rPr>
          <w:rFonts w:asciiTheme="majorHAnsi" w:hAnsiTheme="majorHAnsi" w:cstheme="majorHAnsi"/>
          <w:bCs/>
        </w:rPr>
        <w:t>t</w:t>
      </w:r>
      <w:r w:rsidRPr="003E0DC5">
        <w:rPr>
          <w:rFonts w:asciiTheme="majorHAnsi" w:hAnsiTheme="majorHAnsi" w:cstheme="majorHAnsi"/>
          <w:bCs/>
        </w:rPr>
        <w:t xml:space="preserve">o </w:t>
      </w:r>
      <w:r w:rsidR="003E0DC5" w:rsidRPr="003E0DC5">
        <w:rPr>
          <w:rFonts w:asciiTheme="majorHAnsi" w:hAnsiTheme="majorHAnsi" w:cstheme="majorHAnsi"/>
          <w:bCs/>
        </w:rPr>
        <w:t xml:space="preserve">como certo e a não </w:t>
      </w:r>
      <w:r w:rsidR="00E2336E">
        <w:rPr>
          <w:rFonts w:asciiTheme="majorHAnsi" w:hAnsiTheme="majorHAnsi" w:cstheme="majorHAnsi"/>
          <w:bCs/>
        </w:rPr>
        <w:t xml:space="preserve">considerar </w:t>
      </w:r>
      <w:r w:rsidR="003E0DC5" w:rsidRPr="003E0DC5">
        <w:rPr>
          <w:rFonts w:asciiTheme="majorHAnsi" w:hAnsiTheme="majorHAnsi" w:cstheme="majorHAnsi"/>
          <w:bCs/>
        </w:rPr>
        <w:t xml:space="preserve">o papel das normas. </w:t>
      </w:r>
      <w:r>
        <w:rPr>
          <w:rFonts w:asciiTheme="majorHAnsi" w:hAnsiTheme="majorHAnsi" w:cstheme="majorHAnsi"/>
          <w:bCs/>
        </w:rPr>
        <w:t>Contudo, r</w:t>
      </w:r>
      <w:r w:rsidR="003E0DC5" w:rsidRPr="003E0DC5">
        <w:rPr>
          <w:rFonts w:asciiTheme="majorHAnsi" w:hAnsiTheme="majorHAnsi" w:cstheme="majorHAnsi"/>
          <w:bCs/>
        </w:rPr>
        <w:t xml:space="preserve">apidamente, nos preocupamos quando produtos se mostram de má qualidade, não se encaixam, são incompatíveis com equipamentos que já temos, não são confiáveis ou são perigosos. </w:t>
      </w:r>
    </w:p>
    <w:p w14:paraId="2B21E480" w14:textId="26BECCC1" w:rsidR="003E0DC5" w:rsidRPr="003E0DC5" w:rsidRDefault="008C3FA0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Por este motivo cabe salientar, que q</w:t>
      </w:r>
      <w:r w:rsidR="003E0DC5" w:rsidRPr="003E0DC5">
        <w:rPr>
          <w:rFonts w:asciiTheme="majorHAnsi" w:hAnsiTheme="majorHAnsi" w:cstheme="majorHAnsi"/>
          <w:bCs/>
        </w:rPr>
        <w:t>uando os produtos, sistemas, máquinas e dispositivos trabalham bem e com segurança, quase sempre é porque eles atendem às normas</w:t>
      </w:r>
      <w:r>
        <w:rPr>
          <w:rFonts w:asciiTheme="majorHAnsi" w:hAnsiTheme="majorHAnsi" w:cstheme="majorHAnsi"/>
          <w:bCs/>
        </w:rPr>
        <w:t xml:space="preserve"> específicas</w:t>
      </w:r>
      <w:r w:rsidR="003E0DC5" w:rsidRPr="003E0DC5">
        <w:rPr>
          <w:rFonts w:asciiTheme="majorHAnsi" w:hAnsiTheme="majorHAnsi" w:cstheme="majorHAnsi"/>
          <w:bCs/>
        </w:rPr>
        <w:t>.</w:t>
      </w:r>
    </w:p>
    <w:p w14:paraId="4E47C32A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216F2BB" w14:textId="2EACB097" w:rsidR="003E0DC5" w:rsidRPr="003E0DC5" w:rsidRDefault="00487F1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Por mais que a gente não perceba, a</w:t>
      </w:r>
      <w:r w:rsidR="003E0DC5" w:rsidRPr="003E0DC5">
        <w:rPr>
          <w:rFonts w:asciiTheme="majorHAnsi" w:hAnsiTheme="majorHAnsi" w:cstheme="majorHAnsi"/>
          <w:bCs/>
        </w:rPr>
        <w:t xml:space="preserve">s normas </w:t>
      </w:r>
      <w:r>
        <w:rPr>
          <w:rFonts w:asciiTheme="majorHAnsi" w:hAnsiTheme="majorHAnsi" w:cstheme="majorHAnsi"/>
          <w:bCs/>
        </w:rPr>
        <w:t>possuem</w:t>
      </w:r>
      <w:r w:rsidRPr="003E0DC5">
        <w:rPr>
          <w:rFonts w:asciiTheme="majorHAnsi" w:hAnsiTheme="majorHAnsi" w:cstheme="majorHAnsi"/>
          <w:bCs/>
        </w:rPr>
        <w:t xml:space="preserve"> </w:t>
      </w:r>
      <w:r w:rsidR="003E0DC5" w:rsidRPr="003E0DC5">
        <w:rPr>
          <w:rFonts w:asciiTheme="majorHAnsi" w:hAnsiTheme="majorHAnsi" w:cstheme="majorHAnsi"/>
          <w:bCs/>
        </w:rPr>
        <w:t xml:space="preserve">uma enorme contribuição </w:t>
      </w:r>
      <w:r>
        <w:rPr>
          <w:rFonts w:asciiTheme="majorHAnsi" w:hAnsiTheme="majorHAnsi" w:cstheme="majorHAnsi"/>
          <w:bCs/>
        </w:rPr>
        <w:t>em vários</w:t>
      </w:r>
      <w:r w:rsidR="003E0DC5" w:rsidRPr="003E0DC5">
        <w:rPr>
          <w:rFonts w:asciiTheme="majorHAnsi" w:hAnsiTheme="majorHAnsi" w:cstheme="majorHAnsi"/>
          <w:bCs/>
        </w:rPr>
        <w:t xml:space="preserve"> aspectos d</w:t>
      </w:r>
      <w:r>
        <w:rPr>
          <w:rFonts w:asciiTheme="majorHAnsi" w:hAnsiTheme="majorHAnsi" w:cstheme="majorHAnsi"/>
          <w:bCs/>
        </w:rPr>
        <w:t>o nosso dia a dia.</w:t>
      </w:r>
      <w:r w:rsidR="008C3FA0">
        <w:rPr>
          <w:rFonts w:asciiTheme="majorHAnsi" w:hAnsiTheme="majorHAnsi" w:cstheme="majorHAnsi"/>
          <w:bCs/>
        </w:rPr>
        <w:t xml:space="preserve"> E q</w:t>
      </w:r>
      <w:r w:rsidR="003E0DC5" w:rsidRPr="003E0DC5">
        <w:rPr>
          <w:rFonts w:asciiTheme="majorHAnsi" w:hAnsiTheme="majorHAnsi" w:cstheme="majorHAnsi"/>
          <w:bCs/>
        </w:rPr>
        <w:t xml:space="preserve">uando elas estão ausentes, </w:t>
      </w:r>
      <w:r>
        <w:rPr>
          <w:rFonts w:asciiTheme="majorHAnsi" w:hAnsiTheme="majorHAnsi" w:cstheme="majorHAnsi"/>
          <w:bCs/>
        </w:rPr>
        <w:t>podem acreditar</w:t>
      </w:r>
      <w:proofErr w:type="gramStart"/>
      <w:r>
        <w:rPr>
          <w:rFonts w:asciiTheme="majorHAnsi" w:hAnsiTheme="majorHAnsi" w:cstheme="majorHAnsi"/>
          <w:bCs/>
        </w:rPr>
        <w:t>... L</w:t>
      </w:r>
      <w:r w:rsidR="003E0DC5" w:rsidRPr="003E0DC5">
        <w:rPr>
          <w:rFonts w:asciiTheme="majorHAnsi" w:hAnsiTheme="majorHAnsi" w:cstheme="majorHAnsi"/>
          <w:bCs/>
        </w:rPr>
        <w:t>ogo</w:t>
      </w:r>
      <w:proofErr w:type="gramEnd"/>
      <w:r>
        <w:rPr>
          <w:rFonts w:asciiTheme="majorHAnsi" w:hAnsiTheme="majorHAnsi" w:cstheme="majorHAnsi"/>
          <w:bCs/>
        </w:rPr>
        <w:t xml:space="preserve"> percebemos!</w:t>
      </w:r>
    </w:p>
    <w:p w14:paraId="356ACCEC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6F9D04FB" w14:textId="77777777" w:rsidR="003E0DC5" w:rsidRPr="003E0DC5" w:rsidRDefault="003E0DC5" w:rsidP="003E0DC5">
      <w:pPr>
        <w:pStyle w:val="Ttulo1"/>
        <w:numPr>
          <w:ilvl w:val="0"/>
          <w:numId w:val="27"/>
        </w:numPr>
        <w:tabs>
          <w:tab w:val="left" w:pos="426"/>
        </w:tabs>
        <w:spacing w:before="0" w:after="0" w:line="360" w:lineRule="auto"/>
        <w:ind w:left="0" w:hanging="11"/>
        <w:rPr>
          <w:rFonts w:asciiTheme="majorHAnsi" w:hAnsiTheme="majorHAnsi" w:cstheme="majorHAnsi"/>
        </w:rPr>
      </w:pPr>
      <w:bookmarkStart w:id="3" w:name="_Toc517895078"/>
      <w:r w:rsidRPr="003E0DC5">
        <w:rPr>
          <w:rFonts w:asciiTheme="majorHAnsi" w:hAnsiTheme="majorHAnsi" w:cstheme="majorHAnsi"/>
        </w:rPr>
        <w:t>Papel das entidades normalizadoras no processo de avaliação da conformidade</w:t>
      </w:r>
      <w:bookmarkEnd w:id="3"/>
    </w:p>
    <w:p w14:paraId="75D508D7" w14:textId="5F7B4E46" w:rsidR="003E0DC5" w:rsidRPr="003E0DC5" w:rsidRDefault="006B1C31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/>
          <w:bCs/>
        </w:rPr>
      </w:pPr>
      <w:r>
        <w:rPr>
          <w:noProof/>
          <w:lang w:eastAsia="pt-BR"/>
        </w:rPr>
        <w:drawing>
          <wp:anchor distT="0" distB="0" distL="114300" distR="114300" simplePos="0" relativeHeight="251656192" behindDoc="0" locked="0" layoutInCell="1" allowOverlap="1" wp14:anchorId="68E93E6E" wp14:editId="6AB74E7A">
            <wp:simplePos x="0" y="0"/>
            <wp:positionH relativeFrom="column">
              <wp:posOffset>-635</wp:posOffset>
            </wp:positionH>
            <wp:positionV relativeFrom="paragraph">
              <wp:posOffset>251460</wp:posOffset>
            </wp:positionV>
            <wp:extent cx="2443480" cy="2133600"/>
            <wp:effectExtent l="0" t="0" r="0" b="0"/>
            <wp:wrapSquare wrapText="bothSides"/>
            <wp:docPr id="15" name="Imagem 15" descr="http://prodsaude-entib.org.br/prodsaude/imagens/PS_ANVISA_A4_3_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dsaude-entib.org.br/prodsaude/imagens/PS_ANVISA_A4_3_A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7A0303" w14:textId="387ACBB3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Sabemos que as normas devem ser estabelecidas a partir do consenso dos vários segmentos da sociedade interessados no tema. Podem ter foco na classificação, padronização, qualidade e desempenho dos produtos e até mesmo em requisitos voltados</w:t>
      </w:r>
      <w:r w:rsidR="00F3042A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 xml:space="preserve">para a segurança e saúde do cidadão, bem como para a proteção ao meio ambiente. </w:t>
      </w:r>
    </w:p>
    <w:p w14:paraId="07D27D2F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119278D" w14:textId="77777777" w:rsid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Já os regulamentos devem limitar-se aos requisitos de interesse do Estado, em particular os ligados às questões de saúde, segurança e meio ambiente.</w:t>
      </w:r>
    </w:p>
    <w:p w14:paraId="3E39553B" w14:textId="77777777" w:rsidR="0084527A" w:rsidRPr="003E0DC5" w:rsidRDefault="0084527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D0F1DE5" w14:textId="20A9F6F9" w:rsidR="003E0DC5" w:rsidRDefault="0084527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 xml:space="preserve">Veja o que consta no </w:t>
      </w:r>
      <w:r w:rsidRPr="003E0DC5">
        <w:rPr>
          <w:rFonts w:asciiTheme="majorHAnsi" w:hAnsiTheme="majorHAnsi" w:cstheme="majorHAnsi"/>
          <w:bCs/>
        </w:rPr>
        <w:t>Livreto de Avaliação da Conformidade</w:t>
      </w:r>
      <w:r>
        <w:rPr>
          <w:rFonts w:asciiTheme="majorHAnsi" w:hAnsiTheme="majorHAnsi" w:cstheme="majorHAnsi"/>
          <w:bCs/>
        </w:rPr>
        <w:t xml:space="preserve"> do Inmetro: </w:t>
      </w:r>
    </w:p>
    <w:p w14:paraId="45B84572" w14:textId="77777777" w:rsidR="0084527A" w:rsidRPr="003E0DC5" w:rsidRDefault="0084527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7C8295B" w14:textId="38879DAA" w:rsidR="003E0DC5" w:rsidRPr="007A65ED" w:rsidRDefault="003E0DC5" w:rsidP="007A6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7A65ED">
        <w:rPr>
          <w:rFonts w:asciiTheme="majorHAnsi" w:hAnsiTheme="majorHAnsi" w:cstheme="majorHAnsi"/>
          <w:b/>
          <w:bCs/>
          <w:i/>
          <w:color w:val="008080"/>
        </w:rPr>
        <w:t xml:space="preserve">A interação entre a norma e o regulamento deve ser harmonizada. Em existindo regulamento preliminarmente elaborado, a norma, se elaborada, deve guardar total compatibilidade com o mesmo. </w:t>
      </w:r>
    </w:p>
    <w:p w14:paraId="44E753D0" w14:textId="77777777" w:rsidR="003E0DC5" w:rsidRPr="007A65ED" w:rsidRDefault="003E0DC5" w:rsidP="007A65ED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7A65ED">
        <w:rPr>
          <w:rFonts w:asciiTheme="majorHAnsi" w:hAnsiTheme="majorHAnsi" w:cstheme="majorHAnsi"/>
          <w:b/>
          <w:bCs/>
          <w:i/>
          <w:color w:val="008080"/>
        </w:rPr>
        <w:t>O regulamento, ao basear-se em uma norma existente, deve limitar-se a definir os requisitos ligados às questões de segurança, saúde e meio ambiente.</w:t>
      </w:r>
    </w:p>
    <w:p w14:paraId="79871E89" w14:textId="77777777" w:rsidR="003E0DC5" w:rsidRPr="003E0DC5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E5A49AE" w14:textId="62FAEF6C" w:rsidR="00F86EEB" w:rsidRDefault="003E0DC5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lastRenderedPageBreak/>
        <w:t xml:space="preserve">O Comitê Brasileiro de Regulamentação, uns dos Comitês Técnicos Assessores do Conmetro, publicou em 2007 um Guia de Boas Práticas de Regulamentação (GBPR), </w:t>
      </w:r>
      <w:r w:rsidR="008C3FA0">
        <w:rPr>
          <w:rFonts w:asciiTheme="majorHAnsi" w:hAnsiTheme="majorHAnsi" w:cstheme="majorHAnsi"/>
          <w:bCs/>
        </w:rPr>
        <w:t>este Guia,</w:t>
      </w:r>
      <w:r w:rsidR="008C3FA0" w:rsidRPr="003E0DC5">
        <w:rPr>
          <w:rFonts w:asciiTheme="majorHAnsi" w:hAnsiTheme="majorHAnsi" w:cstheme="majorHAnsi"/>
          <w:bCs/>
        </w:rPr>
        <w:t xml:space="preserve"> </w:t>
      </w:r>
      <w:r w:rsidRPr="003E0DC5">
        <w:rPr>
          <w:rFonts w:asciiTheme="majorHAnsi" w:hAnsiTheme="majorHAnsi" w:cstheme="majorHAnsi"/>
          <w:bCs/>
        </w:rPr>
        <w:t xml:space="preserve">é um material </w:t>
      </w:r>
      <w:proofErr w:type="spellStart"/>
      <w:r w:rsidRPr="003E0DC5">
        <w:rPr>
          <w:rFonts w:asciiTheme="majorHAnsi" w:hAnsiTheme="majorHAnsi" w:cstheme="majorHAnsi"/>
          <w:bCs/>
        </w:rPr>
        <w:t>orientativo</w:t>
      </w:r>
      <w:proofErr w:type="spellEnd"/>
      <w:r w:rsidRPr="003E0DC5">
        <w:rPr>
          <w:rFonts w:asciiTheme="majorHAnsi" w:hAnsiTheme="majorHAnsi" w:cstheme="majorHAnsi"/>
          <w:bCs/>
        </w:rPr>
        <w:t xml:space="preserve"> para se preparar regulamentação em nosso país. </w:t>
      </w:r>
    </w:p>
    <w:tbl>
      <w:tblPr>
        <w:tblStyle w:val="Tabelacomgrade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245"/>
      </w:tblGrid>
      <w:tr w:rsidR="00F86EEB" w14:paraId="313FBC72" w14:textId="77777777" w:rsidTr="00614477">
        <w:tc>
          <w:tcPr>
            <w:tcW w:w="3794" w:type="dxa"/>
          </w:tcPr>
          <w:p w14:paraId="15BB786A" w14:textId="69620FB0" w:rsidR="00F86EEB" w:rsidRPr="00F86EEB" w:rsidRDefault="00F86EEB" w:rsidP="00F86EEB">
            <w:pPr>
              <w:autoSpaceDE w:val="0"/>
              <w:autoSpaceDN w:val="0"/>
              <w:adjustRightInd w:val="0"/>
              <w:spacing w:before="120" w:line="36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noProof/>
                <w:lang w:eastAsia="pt-BR"/>
              </w:rPr>
              <w:drawing>
                <wp:anchor distT="0" distB="0" distL="114300" distR="114300" simplePos="0" relativeHeight="251667456" behindDoc="0" locked="0" layoutInCell="1" allowOverlap="1" wp14:anchorId="7DCE87E6" wp14:editId="21FB30CD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91440</wp:posOffset>
                  </wp:positionV>
                  <wp:extent cx="1955800" cy="2860675"/>
                  <wp:effectExtent l="0" t="0" r="6350" b="0"/>
                  <wp:wrapTopAndBottom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72" t="14393" r="35304" b="16287"/>
                          <a:stretch/>
                        </pic:blipFill>
                        <pic:spPr bwMode="auto">
                          <a:xfrm>
                            <a:off x="0" y="0"/>
                            <a:ext cx="1955800" cy="286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6EEB">
              <w:rPr>
                <w:rFonts w:asciiTheme="majorHAnsi" w:hAnsiTheme="majorHAnsi" w:cstheme="majorHAnsi"/>
                <w:b/>
                <w:bCs/>
                <w:i/>
                <w:color w:val="808080" w:themeColor="background1" w:themeShade="80"/>
              </w:rPr>
              <w:t>Fonte</w:t>
            </w:r>
            <w:r w:rsidRPr="002F0586">
              <w:rPr>
                <w:rFonts w:asciiTheme="majorHAnsi" w:hAnsiTheme="majorHAnsi" w:cstheme="majorHAnsi"/>
                <w:bCs/>
                <w:i/>
                <w:color w:val="808080" w:themeColor="background1" w:themeShade="80"/>
              </w:rPr>
              <w:t xml:space="preserve">: </w:t>
            </w:r>
            <w:r w:rsidRPr="00F86EEB">
              <w:rPr>
                <w:rFonts w:asciiTheme="majorHAnsi" w:hAnsiTheme="majorHAnsi" w:cstheme="majorHAnsi"/>
                <w:bCs/>
                <w:i/>
                <w:color w:val="808080" w:themeColor="background1" w:themeShade="80"/>
              </w:rPr>
              <w:t>GBPR</w:t>
            </w:r>
          </w:p>
        </w:tc>
        <w:tc>
          <w:tcPr>
            <w:tcW w:w="5245" w:type="dxa"/>
          </w:tcPr>
          <w:p w14:paraId="469F2929" w14:textId="77777777" w:rsidR="00614477" w:rsidRDefault="00614477" w:rsidP="00F86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</w:p>
          <w:p w14:paraId="05F03B1A" w14:textId="77777777" w:rsidR="00F86EEB" w:rsidRDefault="00F86EEB" w:rsidP="00F86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E</w:t>
            </w:r>
            <w:r w:rsidRPr="003E0DC5">
              <w:rPr>
                <w:rFonts w:asciiTheme="majorHAnsi" w:hAnsiTheme="majorHAnsi" w:cstheme="majorHAnsi"/>
                <w:bCs/>
              </w:rPr>
              <w:t xml:space="preserve">ste documento </w:t>
            </w:r>
            <w:r>
              <w:rPr>
                <w:rFonts w:asciiTheme="majorHAnsi" w:hAnsiTheme="majorHAnsi" w:cstheme="majorHAnsi"/>
                <w:bCs/>
              </w:rPr>
              <w:t xml:space="preserve">destaca </w:t>
            </w:r>
            <w:r w:rsidRPr="003E0DC5">
              <w:rPr>
                <w:rFonts w:asciiTheme="majorHAnsi" w:hAnsiTheme="majorHAnsi" w:cstheme="majorHAnsi"/>
                <w:bCs/>
              </w:rPr>
              <w:t xml:space="preserve">a importância do </w:t>
            </w:r>
            <w:r w:rsidRPr="002F0586">
              <w:rPr>
                <w:rFonts w:asciiTheme="majorHAnsi" w:hAnsiTheme="majorHAnsi" w:cstheme="majorHAnsi"/>
                <w:b/>
                <w:bCs/>
              </w:rPr>
              <w:t>alinhamento</w:t>
            </w:r>
            <w:r w:rsidRPr="003E0DC5">
              <w:rPr>
                <w:rFonts w:asciiTheme="majorHAnsi" w:hAnsiTheme="majorHAnsi" w:cstheme="majorHAnsi"/>
                <w:bCs/>
              </w:rPr>
              <w:t xml:space="preserve"> entre normas e regulamentos</w:t>
            </w:r>
            <w:r>
              <w:rPr>
                <w:rFonts w:asciiTheme="majorHAnsi" w:hAnsiTheme="majorHAnsi" w:cstheme="majorHAnsi"/>
                <w:bCs/>
              </w:rPr>
              <w:t>. Isto se deve ao fato de sabermos que caso sejam</w:t>
            </w:r>
            <w:r w:rsidRPr="003E0DC5">
              <w:rPr>
                <w:rFonts w:asciiTheme="majorHAnsi" w:hAnsiTheme="majorHAnsi" w:cstheme="majorHAnsi"/>
                <w:bCs/>
              </w:rPr>
              <w:t xml:space="preserve"> contraditórios </w:t>
            </w:r>
            <w:r>
              <w:rPr>
                <w:rFonts w:asciiTheme="majorHAnsi" w:hAnsiTheme="majorHAnsi" w:cstheme="majorHAnsi"/>
                <w:bCs/>
              </w:rPr>
              <w:t>ou</w:t>
            </w:r>
            <w:r w:rsidRPr="003E0DC5">
              <w:rPr>
                <w:rFonts w:asciiTheme="majorHAnsi" w:hAnsiTheme="majorHAnsi" w:cstheme="majorHAnsi"/>
                <w:bCs/>
              </w:rPr>
              <w:t xml:space="preserve"> opostos</w:t>
            </w:r>
            <w:r>
              <w:rPr>
                <w:rFonts w:asciiTheme="majorHAnsi" w:hAnsiTheme="majorHAnsi" w:cstheme="majorHAnsi"/>
                <w:bCs/>
              </w:rPr>
              <w:t>, certamente gerarão</w:t>
            </w:r>
            <w:r w:rsidRPr="003E0DC5">
              <w:rPr>
                <w:rFonts w:asciiTheme="majorHAnsi" w:hAnsiTheme="majorHAnsi" w:cstheme="majorHAnsi"/>
                <w:bCs/>
              </w:rPr>
              <w:t xml:space="preserve"> confus</w:t>
            </w:r>
            <w:r>
              <w:rPr>
                <w:rFonts w:asciiTheme="majorHAnsi" w:hAnsiTheme="majorHAnsi" w:cstheme="majorHAnsi"/>
                <w:bCs/>
              </w:rPr>
              <w:t>ões</w:t>
            </w:r>
            <w:r w:rsidRPr="003E0DC5">
              <w:rPr>
                <w:rFonts w:asciiTheme="majorHAnsi" w:hAnsiTheme="majorHAnsi" w:cstheme="majorHAnsi"/>
                <w:bCs/>
              </w:rPr>
              <w:t xml:space="preserve"> e</w:t>
            </w:r>
            <w:r>
              <w:rPr>
                <w:rFonts w:asciiTheme="majorHAnsi" w:hAnsiTheme="majorHAnsi" w:cstheme="majorHAnsi"/>
                <w:bCs/>
              </w:rPr>
              <w:t xml:space="preserve"> demasiados</w:t>
            </w:r>
            <w:r w:rsidRPr="003E0DC5">
              <w:rPr>
                <w:rFonts w:asciiTheme="majorHAnsi" w:hAnsiTheme="majorHAnsi" w:cstheme="majorHAnsi"/>
                <w:bCs/>
              </w:rPr>
              <w:t xml:space="preserve"> problemas! </w:t>
            </w:r>
          </w:p>
          <w:p w14:paraId="6C180C57" w14:textId="77777777" w:rsidR="00F86EEB" w:rsidRPr="003E0DC5" w:rsidRDefault="00F86EEB" w:rsidP="00F86EE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  <w:r w:rsidRPr="003E0DC5">
              <w:rPr>
                <w:rFonts w:asciiTheme="majorHAnsi" w:hAnsiTheme="majorHAnsi" w:cstheme="majorHAnsi"/>
                <w:bCs/>
              </w:rPr>
              <w:t>Uma boa regulamentação, implementada de maneira flexível, consistente, coerente e proporcional aos objetivos legítimos pretendidos</w:t>
            </w:r>
            <w:r>
              <w:rPr>
                <w:rFonts w:asciiTheme="majorHAnsi" w:hAnsiTheme="majorHAnsi" w:cstheme="majorHAnsi"/>
                <w:bCs/>
              </w:rPr>
              <w:t>,</w:t>
            </w:r>
            <w:r w:rsidRPr="003E0DC5">
              <w:rPr>
                <w:rFonts w:asciiTheme="majorHAnsi" w:hAnsiTheme="majorHAnsi" w:cstheme="majorHAnsi"/>
                <w:bCs/>
              </w:rPr>
              <w:t xml:space="preserve"> é uma importante ferramenta para promover o desenvolvimento e o progresso da sociedade como um todo.</w:t>
            </w:r>
          </w:p>
          <w:p w14:paraId="540725BE" w14:textId="77777777" w:rsidR="00F86EEB" w:rsidRDefault="00F86EEB" w:rsidP="003E0DC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Theme="majorHAnsi" w:hAnsiTheme="majorHAnsi" w:cstheme="majorHAnsi"/>
                <w:bCs/>
              </w:rPr>
            </w:pPr>
          </w:p>
        </w:tc>
      </w:tr>
    </w:tbl>
    <w:p w14:paraId="41D39D6B" w14:textId="080714C6" w:rsidR="00F86EEB" w:rsidRDefault="00F86EEB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6A3D9BF" w14:textId="65681487" w:rsidR="003E0DC5" w:rsidRDefault="003E0DC5" w:rsidP="002F058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  <w:r w:rsidRPr="002F0586">
        <w:rPr>
          <w:rFonts w:asciiTheme="majorHAnsi" w:hAnsiTheme="majorHAnsi" w:cstheme="majorHAnsi"/>
          <w:b/>
          <w:bCs/>
          <w:i/>
          <w:color w:val="008080"/>
        </w:rPr>
        <w:t>Podemos concluir que as normas são a base técnica dos padrões que serão utilizados no processo de regulamentação e avaliação da conformidade!</w:t>
      </w:r>
    </w:p>
    <w:p w14:paraId="64E86C5D" w14:textId="77777777" w:rsidR="00F86EEB" w:rsidRDefault="00F86EEB" w:rsidP="002F058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</w:p>
    <w:p w14:paraId="43920626" w14:textId="77777777" w:rsidR="00F86EEB" w:rsidRDefault="00F86EEB" w:rsidP="002F058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</w:p>
    <w:p w14:paraId="5402BBE4" w14:textId="77777777" w:rsidR="00F86EEB" w:rsidRDefault="00F86EEB" w:rsidP="002F0586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i/>
          <w:color w:val="008080"/>
        </w:rPr>
      </w:pPr>
    </w:p>
    <w:p w14:paraId="6E2708DF" w14:textId="74BB0074" w:rsidR="003E0DC5" w:rsidRPr="002F0586" w:rsidRDefault="00CE031F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</w:rPr>
      </w:pPr>
      <w:r w:rsidRPr="002F0586">
        <w:rPr>
          <w:rFonts w:asciiTheme="majorHAnsi" w:hAnsiTheme="majorHAnsi" w:cstheme="majorHAnsi"/>
          <w:b/>
          <w:bCs/>
        </w:rPr>
        <w:t>E com isto concluímos a aula de hoje!</w:t>
      </w:r>
    </w:p>
    <w:p w14:paraId="6A8C38C3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06A8475" w14:textId="103AD614" w:rsidR="003E0DC5" w:rsidRPr="003E0DC5" w:rsidRDefault="00CE031F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Nesta aula</w:t>
      </w:r>
      <w:r w:rsidR="003E0DC5" w:rsidRPr="003E0DC5">
        <w:rPr>
          <w:rFonts w:asciiTheme="majorHAnsi" w:hAnsiTheme="majorHAnsi" w:cstheme="majorHAnsi"/>
          <w:bCs/>
        </w:rPr>
        <w:t xml:space="preserve"> abord</w:t>
      </w:r>
      <w:r>
        <w:rPr>
          <w:rFonts w:asciiTheme="majorHAnsi" w:hAnsiTheme="majorHAnsi" w:cstheme="majorHAnsi"/>
          <w:bCs/>
        </w:rPr>
        <w:t>amos</w:t>
      </w:r>
      <w:r w:rsidR="003E0DC5" w:rsidRPr="003E0DC5">
        <w:rPr>
          <w:rFonts w:asciiTheme="majorHAnsi" w:hAnsiTheme="majorHAnsi" w:cstheme="majorHAnsi"/>
          <w:bCs/>
        </w:rPr>
        <w:t xml:space="preserve"> as contribuições da normalização no processo de avaliação da conformidade. </w:t>
      </w:r>
      <w:r>
        <w:rPr>
          <w:rFonts w:asciiTheme="majorHAnsi" w:hAnsiTheme="majorHAnsi" w:cstheme="majorHAnsi"/>
          <w:bCs/>
        </w:rPr>
        <w:t>Perceberam como e</w:t>
      </w:r>
      <w:r w:rsidR="003E0DC5" w:rsidRPr="003E0DC5">
        <w:rPr>
          <w:rFonts w:asciiTheme="majorHAnsi" w:hAnsiTheme="majorHAnsi" w:cstheme="majorHAnsi"/>
          <w:bCs/>
        </w:rPr>
        <w:t>stes dois temas são complementares?</w:t>
      </w:r>
    </w:p>
    <w:p w14:paraId="503642AC" w14:textId="77777777" w:rsidR="00CE031F" w:rsidRDefault="00CE031F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4CA8A4AA" w14:textId="77777777" w:rsidR="00CE031F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Lembre-se de fazer a lista de exercícios para ajudar a fixar todos os conceitos vistos na aula de hoje.</w:t>
      </w:r>
    </w:p>
    <w:p w14:paraId="31683A65" w14:textId="7CC1E1F9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 </w:t>
      </w:r>
    </w:p>
    <w:p w14:paraId="06950FE2" w14:textId="3C33819A" w:rsid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Na próxima aula abordar</w:t>
      </w:r>
      <w:r w:rsidR="00CE031F">
        <w:rPr>
          <w:rFonts w:asciiTheme="majorHAnsi" w:hAnsiTheme="majorHAnsi" w:cstheme="majorHAnsi"/>
          <w:bCs/>
        </w:rPr>
        <w:t>emos</w:t>
      </w:r>
      <w:r w:rsidRPr="003E0DC5">
        <w:rPr>
          <w:rFonts w:asciiTheme="majorHAnsi" w:hAnsiTheme="majorHAnsi" w:cstheme="majorHAnsi"/>
          <w:bCs/>
        </w:rPr>
        <w:t xml:space="preserve"> exemplos práticos do processo de certificação de produtos, com especial enfoque na área da saúde! </w:t>
      </w:r>
    </w:p>
    <w:p w14:paraId="5AA8AA40" w14:textId="77777777" w:rsidR="00CE031F" w:rsidRDefault="00CE031F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2C8182DF" w14:textId="2762370B" w:rsidR="003E0DC5" w:rsidRPr="003E0DC5" w:rsidRDefault="0084527A" w:rsidP="00F86EEB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  <w:bCs/>
        </w:rPr>
        <w:t>Até lá</w:t>
      </w:r>
      <w:r w:rsidR="00CE031F">
        <w:rPr>
          <w:rFonts w:asciiTheme="majorHAnsi" w:hAnsiTheme="majorHAnsi" w:cstheme="majorHAnsi"/>
          <w:bCs/>
        </w:rPr>
        <w:t>!</w:t>
      </w:r>
    </w:p>
    <w:p w14:paraId="7E22F19B" w14:textId="6347EA9B" w:rsidR="003E0DC5" w:rsidRPr="002F0586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/>
          <w:bCs/>
          <w:color w:val="C00000"/>
          <w:sz w:val="32"/>
          <w:szCs w:val="32"/>
        </w:rPr>
      </w:pPr>
      <w:bookmarkStart w:id="4" w:name="_GoBack"/>
      <w:r w:rsidRPr="001375FB"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  <w:lastRenderedPageBreak/>
        <w:t>Principais referências:</w:t>
      </w:r>
      <w:bookmarkEnd w:id="4"/>
      <w:r w:rsidR="00E2336E">
        <w:rPr>
          <w:rFonts w:asciiTheme="majorHAnsi" w:hAnsiTheme="majorHAnsi" w:cstheme="majorHAnsi"/>
          <w:b/>
          <w:bCs/>
          <w:color w:val="C00000"/>
          <w:sz w:val="32"/>
          <w:szCs w:val="32"/>
        </w:rPr>
        <w:br/>
      </w:r>
    </w:p>
    <w:p w14:paraId="1D9BD334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ASSOCIAÇÃO BRASILEIRA DE NORMAS TÉCNICAS (ABNT). Definição de Normalização. Disponível em: </w:t>
      </w:r>
      <w:hyperlink r:id="rId16" w:history="1">
        <w:proofErr w:type="gramStart"/>
        <w:r w:rsidRPr="003E0DC5">
          <w:rPr>
            <w:rStyle w:val="Hyperlink"/>
            <w:rFonts w:asciiTheme="majorHAnsi" w:hAnsiTheme="majorHAnsi" w:cstheme="majorHAnsi"/>
            <w:bCs/>
          </w:rPr>
          <w:t>http://www.abnt.org.br/normalizacao/o-que-e/o-que-e</w:t>
        </w:r>
      </w:hyperlink>
      <w:r w:rsidRPr="003E0DC5">
        <w:rPr>
          <w:rFonts w:asciiTheme="majorHAnsi" w:hAnsiTheme="majorHAnsi" w:cstheme="majorHAnsi"/>
          <w:bCs/>
        </w:rPr>
        <w:t xml:space="preserve">  Acessado</w:t>
      </w:r>
      <w:proofErr w:type="gramEnd"/>
      <w:r w:rsidRPr="003E0DC5">
        <w:rPr>
          <w:rFonts w:asciiTheme="majorHAnsi" w:hAnsiTheme="majorHAnsi" w:cstheme="majorHAnsi"/>
          <w:bCs/>
        </w:rPr>
        <w:t xml:space="preserve"> em Abril de 2018.</w:t>
      </w:r>
    </w:p>
    <w:p w14:paraId="7E022A29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3418508B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COMITÊ BRASILEIRO DE REGULAMENTAÇÃO. Guia de Boas Práticas de Regulamentação (GBPR). Disponível em: </w:t>
      </w:r>
      <w:hyperlink r:id="rId17" w:history="1">
        <w:proofErr w:type="gramStart"/>
        <w:r w:rsidRPr="003E0DC5">
          <w:rPr>
            <w:rStyle w:val="Hyperlink"/>
            <w:rFonts w:asciiTheme="majorHAnsi" w:hAnsiTheme="majorHAnsi" w:cstheme="majorHAnsi"/>
            <w:bCs/>
          </w:rPr>
          <w:t>http://www.inmetro.gov.br/qualidade/pdf/guia_portugues.pdf</w:t>
        </w:r>
      </w:hyperlink>
      <w:r w:rsidRPr="003E0DC5">
        <w:rPr>
          <w:rFonts w:asciiTheme="majorHAnsi" w:hAnsiTheme="majorHAnsi" w:cstheme="majorHAnsi"/>
          <w:bCs/>
        </w:rPr>
        <w:t xml:space="preserve">  Acessado</w:t>
      </w:r>
      <w:proofErr w:type="gramEnd"/>
      <w:r w:rsidRPr="003E0DC5">
        <w:rPr>
          <w:rFonts w:asciiTheme="majorHAnsi" w:hAnsiTheme="majorHAnsi" w:cstheme="majorHAnsi"/>
          <w:bCs/>
        </w:rPr>
        <w:t xml:space="preserve"> em Maio de 2018.</w:t>
      </w:r>
    </w:p>
    <w:p w14:paraId="23D6C2D5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00FD3329" w14:textId="51A8B6B5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INSTITUTO NACIONAL DE METROLOGIA, QUALIDADE E TECNOLOGIA (</w:t>
      </w:r>
      <w:r w:rsidR="00E46EBB">
        <w:rPr>
          <w:rFonts w:asciiTheme="majorHAnsi" w:hAnsiTheme="majorHAnsi" w:cstheme="majorHAnsi"/>
          <w:bCs/>
        </w:rPr>
        <w:t>Inmetro</w:t>
      </w:r>
      <w:r w:rsidRPr="003E0DC5">
        <w:rPr>
          <w:rFonts w:asciiTheme="majorHAnsi" w:hAnsiTheme="majorHAnsi" w:cstheme="majorHAnsi"/>
          <w:bCs/>
        </w:rPr>
        <w:t xml:space="preserve">). Livro Digital Medida, Normalização e Qualidade - Aspectos da História da Metrologia no Brasil. Disponível em: </w:t>
      </w:r>
      <w:hyperlink r:id="rId18" w:history="1">
        <w:r w:rsidRPr="003E0DC5">
          <w:rPr>
            <w:rStyle w:val="Hyperlink"/>
            <w:rFonts w:asciiTheme="majorHAnsi" w:hAnsiTheme="majorHAnsi" w:cstheme="majorHAnsi"/>
            <w:bCs/>
          </w:rPr>
          <w:t>http://www.inmetro.gov.br/noticias/livroMetrologia/07_LivroMetrologia_cap06.PDF</w:t>
        </w:r>
      </w:hyperlink>
      <w:r w:rsidRPr="003E0DC5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3E0DC5">
        <w:rPr>
          <w:rFonts w:asciiTheme="majorHAnsi" w:hAnsiTheme="majorHAnsi" w:cstheme="majorHAnsi"/>
          <w:bCs/>
        </w:rPr>
        <w:t>Abril</w:t>
      </w:r>
      <w:proofErr w:type="gramEnd"/>
      <w:r w:rsidRPr="003E0DC5">
        <w:rPr>
          <w:rFonts w:asciiTheme="majorHAnsi" w:hAnsiTheme="majorHAnsi" w:cstheme="majorHAnsi"/>
          <w:bCs/>
        </w:rPr>
        <w:t xml:space="preserve"> de 2018.</w:t>
      </w:r>
    </w:p>
    <w:p w14:paraId="0CA04DD7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</w:p>
    <w:p w14:paraId="7CD6EF72" w14:textId="5D995235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INSTITUTO NACIONAL DE METROLOGIA, QUALIDADE E TECNOLOGIA (</w:t>
      </w:r>
      <w:r w:rsidR="00E46EBB">
        <w:rPr>
          <w:rFonts w:asciiTheme="majorHAnsi" w:hAnsiTheme="majorHAnsi" w:cstheme="majorHAnsi"/>
          <w:bCs/>
        </w:rPr>
        <w:t>Inmetro</w:t>
      </w:r>
      <w:r w:rsidRPr="003E0DC5">
        <w:rPr>
          <w:rFonts w:asciiTheme="majorHAnsi" w:hAnsiTheme="majorHAnsi" w:cstheme="majorHAnsi"/>
          <w:bCs/>
        </w:rPr>
        <w:t xml:space="preserve">). Livreto de Avaliação da Conformidade – 6° Edição. Rio de Janeiro. Disponível em: </w:t>
      </w:r>
      <w:hyperlink r:id="rId19" w:history="1">
        <w:r w:rsidRPr="003E0DC5">
          <w:rPr>
            <w:rStyle w:val="Hyperlink"/>
            <w:rFonts w:asciiTheme="majorHAnsi" w:hAnsiTheme="majorHAnsi" w:cstheme="majorHAnsi"/>
            <w:bCs/>
          </w:rPr>
          <w:t>http://www.inmetro.gov.br/inovacao/publicacoes/acpq.pdf</w:t>
        </w:r>
      </w:hyperlink>
      <w:r w:rsidRPr="003E0DC5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3E0DC5">
        <w:rPr>
          <w:rFonts w:asciiTheme="majorHAnsi" w:hAnsiTheme="majorHAnsi" w:cstheme="majorHAnsi"/>
          <w:bCs/>
        </w:rPr>
        <w:t>Abril</w:t>
      </w:r>
      <w:proofErr w:type="gramEnd"/>
      <w:r w:rsidRPr="003E0DC5">
        <w:rPr>
          <w:rFonts w:asciiTheme="majorHAnsi" w:hAnsiTheme="majorHAnsi" w:cstheme="majorHAnsi"/>
          <w:bCs/>
        </w:rPr>
        <w:t xml:space="preserve"> de 2018.</w:t>
      </w:r>
    </w:p>
    <w:p w14:paraId="5CACD28C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</w:p>
    <w:p w14:paraId="6D163D44" w14:textId="68128434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>INSTITUTO NACIONAL DE METROLOGIA, QUALIDADE E TECNOLOGIA (</w:t>
      </w:r>
      <w:r w:rsidR="00E46EBB">
        <w:rPr>
          <w:rFonts w:asciiTheme="majorHAnsi" w:hAnsiTheme="majorHAnsi" w:cstheme="majorHAnsi"/>
          <w:bCs/>
        </w:rPr>
        <w:t>Inmetro</w:t>
      </w:r>
      <w:r w:rsidRPr="003E0DC5">
        <w:rPr>
          <w:rFonts w:asciiTheme="majorHAnsi" w:hAnsiTheme="majorHAnsi" w:cstheme="majorHAnsi"/>
          <w:bCs/>
        </w:rPr>
        <w:t xml:space="preserve">). Avaliação da Conformidade. Disponível em: </w:t>
      </w:r>
      <w:hyperlink r:id="rId20" w:history="1">
        <w:r w:rsidRPr="003E0DC5">
          <w:rPr>
            <w:rStyle w:val="Hyperlink"/>
            <w:rFonts w:asciiTheme="majorHAnsi" w:hAnsiTheme="majorHAnsi" w:cstheme="majorHAnsi"/>
          </w:rPr>
          <w:t>http://www.sitedoconsumidor.gov.br/qualidade/rtepac/</w:t>
        </w:r>
      </w:hyperlink>
      <w:r w:rsidRPr="003E0DC5">
        <w:rPr>
          <w:rFonts w:asciiTheme="majorHAnsi" w:hAnsiTheme="majorHAnsi" w:cstheme="majorHAnsi"/>
        </w:rPr>
        <w:t xml:space="preserve"> </w:t>
      </w:r>
      <w:r w:rsidRPr="003E0DC5">
        <w:rPr>
          <w:rFonts w:asciiTheme="majorHAnsi" w:hAnsiTheme="majorHAnsi" w:cstheme="majorHAnsi"/>
          <w:color w:val="212121"/>
          <w:sz w:val="23"/>
          <w:szCs w:val="23"/>
        </w:rPr>
        <w:t xml:space="preserve"> </w:t>
      </w:r>
      <w:r w:rsidRPr="003E0DC5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3E0DC5">
        <w:rPr>
          <w:rFonts w:asciiTheme="majorHAnsi" w:hAnsiTheme="majorHAnsi" w:cstheme="majorHAnsi"/>
          <w:bCs/>
        </w:rPr>
        <w:t>Abril</w:t>
      </w:r>
      <w:proofErr w:type="gramEnd"/>
      <w:r w:rsidRPr="003E0DC5">
        <w:rPr>
          <w:rFonts w:asciiTheme="majorHAnsi" w:hAnsiTheme="majorHAnsi" w:cstheme="majorHAnsi"/>
          <w:bCs/>
        </w:rPr>
        <w:t xml:space="preserve"> de 2018.</w:t>
      </w:r>
    </w:p>
    <w:p w14:paraId="093955F0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</w:p>
    <w:p w14:paraId="77A291F4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  <w:r w:rsidRPr="003E0DC5">
        <w:rPr>
          <w:rFonts w:asciiTheme="majorHAnsi" w:hAnsiTheme="majorHAnsi" w:cstheme="majorHAnsi"/>
          <w:bCs/>
        </w:rPr>
        <w:t xml:space="preserve">SEBRAE. Normas Técnicas. Disponível em:   </w:t>
      </w:r>
      <w:hyperlink r:id="rId21" w:history="1">
        <w:proofErr w:type="gramStart"/>
        <w:r w:rsidRPr="003E0DC5">
          <w:rPr>
            <w:rStyle w:val="Hyperlink"/>
            <w:rFonts w:asciiTheme="majorHAnsi" w:hAnsiTheme="majorHAnsi" w:cstheme="majorHAnsi"/>
            <w:bCs/>
          </w:rPr>
          <w:t>http://www.sebrae.com.br/sites/PortalSebrae/artigos/o-que-e-normalizacao,82bc438af1c92410VgnVCM100000b272010aRCRD</w:t>
        </w:r>
      </w:hyperlink>
      <w:r w:rsidRPr="003E0DC5">
        <w:rPr>
          <w:rFonts w:asciiTheme="majorHAnsi" w:hAnsiTheme="majorHAnsi" w:cstheme="majorHAnsi"/>
          <w:bCs/>
        </w:rPr>
        <w:t xml:space="preserve"> .</w:t>
      </w:r>
      <w:proofErr w:type="gramEnd"/>
      <w:r w:rsidRPr="003E0DC5">
        <w:rPr>
          <w:rFonts w:asciiTheme="majorHAnsi" w:hAnsiTheme="majorHAnsi" w:cstheme="majorHAnsi"/>
          <w:bCs/>
        </w:rPr>
        <w:t xml:space="preserve"> Acessado em </w:t>
      </w:r>
      <w:proofErr w:type="gramStart"/>
      <w:r w:rsidRPr="003E0DC5">
        <w:rPr>
          <w:rFonts w:asciiTheme="majorHAnsi" w:hAnsiTheme="majorHAnsi" w:cstheme="majorHAnsi"/>
          <w:bCs/>
        </w:rPr>
        <w:t>Abril</w:t>
      </w:r>
      <w:proofErr w:type="gramEnd"/>
      <w:r w:rsidRPr="003E0DC5">
        <w:rPr>
          <w:rFonts w:asciiTheme="majorHAnsi" w:hAnsiTheme="majorHAnsi" w:cstheme="majorHAnsi"/>
          <w:bCs/>
        </w:rPr>
        <w:t xml:space="preserve"> de 2018.</w:t>
      </w:r>
    </w:p>
    <w:p w14:paraId="32C63F91" w14:textId="77777777" w:rsidR="003E0DC5" w:rsidRPr="003E0DC5" w:rsidRDefault="003E0DC5" w:rsidP="003E0DC5">
      <w:pPr>
        <w:tabs>
          <w:tab w:val="left" w:pos="0"/>
        </w:tabs>
        <w:autoSpaceDE w:val="0"/>
        <w:autoSpaceDN w:val="0"/>
        <w:adjustRightInd w:val="0"/>
        <w:spacing w:after="0" w:line="360" w:lineRule="auto"/>
        <w:rPr>
          <w:rFonts w:asciiTheme="majorHAnsi" w:hAnsiTheme="majorHAnsi" w:cstheme="majorHAnsi"/>
          <w:bCs/>
        </w:rPr>
      </w:pPr>
    </w:p>
    <w:p w14:paraId="3C13965B" w14:textId="77777777" w:rsidR="009424FA" w:rsidRPr="003E0DC5" w:rsidRDefault="009424FA" w:rsidP="003E0DC5">
      <w:pPr>
        <w:autoSpaceDE w:val="0"/>
        <w:autoSpaceDN w:val="0"/>
        <w:adjustRightInd w:val="0"/>
        <w:spacing w:after="0" w:line="360" w:lineRule="auto"/>
        <w:jc w:val="both"/>
        <w:rPr>
          <w:rFonts w:asciiTheme="majorHAnsi" w:hAnsiTheme="majorHAnsi" w:cstheme="majorHAnsi"/>
          <w:b/>
          <w:bCs/>
          <w:sz w:val="32"/>
          <w:szCs w:val="32"/>
        </w:rPr>
      </w:pPr>
    </w:p>
    <w:sectPr w:rsidR="009424FA" w:rsidRPr="003E0DC5" w:rsidSect="00E2336E">
      <w:headerReference w:type="default" r:id="rId22"/>
      <w:footerReference w:type="default" r:id="rId23"/>
      <w:pgSz w:w="11906" w:h="16838"/>
      <w:pgMar w:top="1418" w:right="1418" w:bottom="1134" w:left="1701" w:header="567" w:footer="153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4DBFD4B" w16cid:durableId="1E99C596"/>
  <w16cid:commentId w16cid:paraId="36FA8953" w16cid:durableId="1E99C5EB"/>
  <w16cid:commentId w16cid:paraId="4FDA55DD" w16cid:durableId="1E99C597"/>
  <w16cid:commentId w16cid:paraId="799934B2" w16cid:durableId="1E99C60F"/>
  <w16cid:commentId w16cid:paraId="32BCA539" w16cid:durableId="1E99C598"/>
  <w16cid:commentId w16cid:paraId="0A288A52" w16cid:durableId="1E99C6A1"/>
  <w16cid:commentId w16cid:paraId="1B20A9B0" w16cid:durableId="1E99C599"/>
  <w16cid:commentId w16cid:paraId="67A4F53F" w16cid:durableId="1E99C59A"/>
  <w16cid:commentId w16cid:paraId="03F1C71E" w16cid:durableId="1E99C6F8"/>
  <w16cid:commentId w16cid:paraId="084FD2D4" w16cid:durableId="1E99C59B"/>
  <w16cid:commentId w16cid:paraId="43A3A26E" w16cid:durableId="1E99C59C"/>
  <w16cid:commentId w16cid:paraId="2AA9CD68" w16cid:durableId="1E99C739"/>
  <w16cid:commentId w16cid:paraId="4717578E" w16cid:durableId="1E99C59D"/>
  <w16cid:commentId w16cid:paraId="11D3D2CD" w16cid:durableId="1E99C59E"/>
  <w16cid:commentId w16cid:paraId="25734FC8" w16cid:durableId="1E99C754"/>
  <w16cid:commentId w16cid:paraId="250237B6" w16cid:durableId="1E99C59F"/>
  <w16cid:commentId w16cid:paraId="49ECC6F1" w16cid:durableId="1E99C75D"/>
  <w16cid:commentId w16cid:paraId="79BF94A2" w16cid:durableId="1E99C5A0"/>
  <w16cid:commentId w16cid:paraId="7F64E877" w16cid:durableId="1E99C76B"/>
  <w16cid:commentId w16cid:paraId="6EDB7DCF" w16cid:durableId="1E99C5A1"/>
  <w16cid:commentId w16cid:paraId="26A019CD" w16cid:durableId="1E99C78E"/>
  <w16cid:commentId w16cid:paraId="22AF23A5" w16cid:durableId="1E99C5A2"/>
  <w16cid:commentId w16cid:paraId="4215F7C4" w16cid:durableId="1E99C798"/>
  <w16cid:commentId w16cid:paraId="6AB8E218" w16cid:durableId="1E99C5A3"/>
  <w16cid:commentId w16cid:paraId="69B7E6AD" w16cid:durableId="1E99C7B4"/>
  <w16cid:commentId w16cid:paraId="6934B807" w16cid:durableId="1E99C5A4"/>
  <w16cid:commentId w16cid:paraId="01A0584A" w16cid:durableId="1E99C5A5"/>
  <w16cid:commentId w16cid:paraId="7DFA90BB" w16cid:durableId="1E99C5A6"/>
  <w16cid:commentId w16cid:paraId="221782D2" w16cid:durableId="1E99C5A7"/>
  <w16cid:commentId w16cid:paraId="53E53794" w16cid:durableId="1E99C8C6"/>
  <w16cid:commentId w16cid:paraId="180DA345" w16cid:durableId="1E99C5A8"/>
  <w16cid:commentId w16cid:paraId="12FAA783" w16cid:durableId="1E99C8A2"/>
  <w16cid:commentId w16cid:paraId="132670C0" w16cid:durableId="1E99C5A9"/>
  <w16cid:commentId w16cid:paraId="28E6DA59" w16cid:durableId="1E99C5AA"/>
  <w16cid:commentId w16cid:paraId="63462E1F" w16cid:durableId="1E99C5AB"/>
  <w16cid:commentId w16cid:paraId="60178426" w16cid:durableId="1E99CAC1"/>
  <w16cid:commentId w16cid:paraId="2688F650" w16cid:durableId="1E99C5AC"/>
  <w16cid:commentId w16cid:paraId="5DA7711D" w16cid:durableId="1E99C90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4FD4C" w14:textId="77777777" w:rsidR="008F55C7" w:rsidRDefault="008F55C7" w:rsidP="0080018E">
      <w:pPr>
        <w:spacing w:after="0" w:line="240" w:lineRule="auto"/>
      </w:pPr>
      <w:r>
        <w:separator/>
      </w:r>
    </w:p>
  </w:endnote>
  <w:endnote w:type="continuationSeparator" w:id="0">
    <w:p w14:paraId="7EF95AEE" w14:textId="77777777" w:rsidR="008F55C7" w:rsidRDefault="008F55C7" w:rsidP="00800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rostile">
    <w:altName w:val="Agency FB"/>
    <w:panose1 w:val="020B050402020205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7731587"/>
      <w:docPartObj>
        <w:docPartGallery w:val="Page Numbers (Bottom of Page)"/>
        <w:docPartUnique/>
      </w:docPartObj>
    </w:sdtPr>
    <w:sdtEndPr/>
    <w:sdtContent>
      <w:p w14:paraId="470967B4" w14:textId="46E76843" w:rsidR="00E2336E" w:rsidRDefault="00E2336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75FB">
          <w:rPr>
            <w:noProof/>
          </w:rPr>
          <w:t>12</w:t>
        </w:r>
        <w:r>
          <w:fldChar w:fldCharType="end"/>
        </w:r>
      </w:p>
    </w:sdtContent>
  </w:sdt>
  <w:p w14:paraId="4EDC2C65" w14:textId="01C6218A" w:rsidR="00E2336E" w:rsidRDefault="00E2336E" w:rsidP="00165D96">
    <w:pPr>
      <w:pStyle w:val="Rodap"/>
      <w:tabs>
        <w:tab w:val="clear" w:pos="4252"/>
        <w:tab w:val="clear" w:pos="8504"/>
        <w:tab w:val="left" w:pos="3625"/>
        <w:tab w:val="right" w:pos="935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FA8DC2" w14:textId="77777777" w:rsidR="008F55C7" w:rsidRDefault="008F55C7" w:rsidP="0080018E">
      <w:pPr>
        <w:spacing w:after="0" w:line="240" w:lineRule="auto"/>
      </w:pPr>
      <w:r>
        <w:separator/>
      </w:r>
    </w:p>
  </w:footnote>
  <w:footnote w:type="continuationSeparator" w:id="0">
    <w:p w14:paraId="56958F7B" w14:textId="77777777" w:rsidR="008F55C7" w:rsidRDefault="008F55C7" w:rsidP="008001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7FB26" w14:textId="4988F20E" w:rsidR="00E2336E" w:rsidRPr="004627D1" w:rsidRDefault="00F90DF0" w:rsidP="004627D1">
    <w:pPr>
      <w:pStyle w:val="Cabealho"/>
      <w:rPr>
        <w:rFonts w:ascii="Eurostile" w:hAnsi="Eurostile"/>
        <w:noProof/>
        <w:color w:val="808080" w:themeColor="background1" w:themeShade="80"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0372A9BB" wp14:editId="607A76D1">
          <wp:simplePos x="0" y="0"/>
          <wp:positionH relativeFrom="column">
            <wp:posOffset>5715</wp:posOffset>
          </wp:positionH>
          <wp:positionV relativeFrom="paragraph">
            <wp:posOffset>-93345</wp:posOffset>
          </wp:positionV>
          <wp:extent cx="5579745" cy="268605"/>
          <wp:effectExtent l="0" t="0" r="1905" b="0"/>
          <wp:wrapSquare wrapText="bothSides"/>
          <wp:docPr id="7" name="Imagem 7" descr="http://entib.org.br/entib/imagens/rotuloSUPCursos_ENTIB_ANVISA_A0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entib.org.br/entib/imagens/rotuloSUPCursos_ENTIB_ANVISA_A0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9745" cy="268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1893" w:rsidRPr="000B1575">
      <w:rPr>
        <w:rFonts w:ascii="Eurostile" w:hAnsi="Eurostile"/>
        <w:noProof/>
        <w:color w:val="808080" w:themeColor="background1" w:themeShade="80"/>
        <w:lang w:eastAsia="pt-BR"/>
      </w:rPr>
      <w:drawing>
        <wp:anchor distT="0" distB="0" distL="114300" distR="114300" simplePos="0" relativeHeight="251661824" behindDoc="1" locked="0" layoutInCell="1" allowOverlap="1" wp14:anchorId="6D6D8043" wp14:editId="73563CDC">
          <wp:simplePos x="0" y="0"/>
          <wp:positionH relativeFrom="column">
            <wp:posOffset>-1085850</wp:posOffset>
          </wp:positionH>
          <wp:positionV relativeFrom="paragraph">
            <wp:posOffset>-361950</wp:posOffset>
          </wp:positionV>
          <wp:extent cx="7543731" cy="10668000"/>
          <wp:effectExtent l="0" t="0" r="635" b="0"/>
          <wp:wrapNone/>
          <wp:docPr id="5" name="Imagem 5" descr="C:\Users\Aline\Desktop\Entib - Folha de rosto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ine\Desktop\Entib - Folha de rosto 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731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7A9FD1" w14:textId="4F5DE1DD" w:rsidR="00E2336E" w:rsidRPr="00AF3AE2" w:rsidRDefault="00E2336E" w:rsidP="004627D1">
    <w:pPr>
      <w:pStyle w:val="Cabealho"/>
      <w:tabs>
        <w:tab w:val="clear" w:pos="4252"/>
        <w:tab w:val="clear" w:pos="8504"/>
        <w:tab w:val="left" w:pos="372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C483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42233EF"/>
    <w:multiLevelType w:val="hybridMultilevel"/>
    <w:tmpl w:val="23A82B9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5E5FF6"/>
    <w:multiLevelType w:val="hybridMultilevel"/>
    <w:tmpl w:val="76E243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E2E00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C4EC4"/>
    <w:multiLevelType w:val="hybridMultilevel"/>
    <w:tmpl w:val="1B1C48C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534E8"/>
    <w:multiLevelType w:val="hybridMultilevel"/>
    <w:tmpl w:val="D91227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9D4ACB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7971F75"/>
    <w:multiLevelType w:val="hybridMultilevel"/>
    <w:tmpl w:val="0BFAB51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E2005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B041007"/>
    <w:multiLevelType w:val="hybridMultilevel"/>
    <w:tmpl w:val="0838C63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054422"/>
    <w:multiLevelType w:val="hybridMultilevel"/>
    <w:tmpl w:val="2A8CAB4A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8B305F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813474"/>
    <w:multiLevelType w:val="hybridMultilevel"/>
    <w:tmpl w:val="F6BA07A2"/>
    <w:lvl w:ilvl="0" w:tplc="37368FA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EEA0DA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10D2A"/>
    <w:multiLevelType w:val="multilevel"/>
    <w:tmpl w:val="6DDCF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2E7B597F"/>
    <w:multiLevelType w:val="hybridMultilevel"/>
    <w:tmpl w:val="5DAC22CC"/>
    <w:lvl w:ilvl="0" w:tplc="C2025384">
      <w:start w:val="1"/>
      <w:numFmt w:val="decimal"/>
      <w:lvlText w:val="%1 -"/>
      <w:lvlJc w:val="left"/>
      <w:pPr>
        <w:ind w:left="720" w:hanging="360"/>
      </w:pPr>
      <w:rPr>
        <w:rFonts w:hint="default"/>
        <w:sz w:val="32"/>
        <w:szCs w:val="3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82000"/>
    <w:multiLevelType w:val="hybridMultilevel"/>
    <w:tmpl w:val="A71EB6F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9347C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55A7334"/>
    <w:multiLevelType w:val="hybridMultilevel"/>
    <w:tmpl w:val="B178C996"/>
    <w:lvl w:ilvl="0" w:tplc="5E2A095A">
      <w:start w:val="1"/>
      <w:numFmt w:val="decimal"/>
      <w:lvlText w:val="%1 -"/>
      <w:lvlJc w:val="left"/>
      <w:pPr>
        <w:ind w:left="70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29" w:hanging="360"/>
      </w:pPr>
    </w:lvl>
    <w:lvl w:ilvl="2" w:tplc="0416001B" w:tentative="1">
      <w:start w:val="1"/>
      <w:numFmt w:val="lowerRoman"/>
      <w:lvlText w:val="%3."/>
      <w:lvlJc w:val="right"/>
      <w:pPr>
        <w:ind w:left="2149" w:hanging="180"/>
      </w:pPr>
    </w:lvl>
    <w:lvl w:ilvl="3" w:tplc="0416000F" w:tentative="1">
      <w:start w:val="1"/>
      <w:numFmt w:val="decimal"/>
      <w:lvlText w:val="%4."/>
      <w:lvlJc w:val="left"/>
      <w:pPr>
        <w:ind w:left="2869" w:hanging="360"/>
      </w:pPr>
    </w:lvl>
    <w:lvl w:ilvl="4" w:tplc="04160019" w:tentative="1">
      <w:start w:val="1"/>
      <w:numFmt w:val="lowerLetter"/>
      <w:lvlText w:val="%5."/>
      <w:lvlJc w:val="left"/>
      <w:pPr>
        <w:ind w:left="3589" w:hanging="360"/>
      </w:pPr>
    </w:lvl>
    <w:lvl w:ilvl="5" w:tplc="0416001B" w:tentative="1">
      <w:start w:val="1"/>
      <w:numFmt w:val="lowerRoman"/>
      <w:lvlText w:val="%6."/>
      <w:lvlJc w:val="right"/>
      <w:pPr>
        <w:ind w:left="4309" w:hanging="180"/>
      </w:pPr>
    </w:lvl>
    <w:lvl w:ilvl="6" w:tplc="0416000F" w:tentative="1">
      <w:start w:val="1"/>
      <w:numFmt w:val="decimal"/>
      <w:lvlText w:val="%7."/>
      <w:lvlJc w:val="left"/>
      <w:pPr>
        <w:ind w:left="5029" w:hanging="360"/>
      </w:pPr>
    </w:lvl>
    <w:lvl w:ilvl="7" w:tplc="04160019" w:tentative="1">
      <w:start w:val="1"/>
      <w:numFmt w:val="lowerLetter"/>
      <w:lvlText w:val="%8."/>
      <w:lvlJc w:val="left"/>
      <w:pPr>
        <w:ind w:left="5749" w:hanging="360"/>
      </w:pPr>
    </w:lvl>
    <w:lvl w:ilvl="8" w:tplc="0416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8" w15:restartNumberingAfterBreak="0">
    <w:nsid w:val="38334209"/>
    <w:multiLevelType w:val="hybridMultilevel"/>
    <w:tmpl w:val="A9C6808A"/>
    <w:lvl w:ilvl="0" w:tplc="93B63902">
      <w:start w:val="1"/>
      <w:numFmt w:val="decimal"/>
      <w:lvlText w:val="%1."/>
      <w:lvlJc w:val="left"/>
      <w:pPr>
        <w:ind w:left="2216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936" w:hanging="360"/>
      </w:pPr>
    </w:lvl>
    <w:lvl w:ilvl="2" w:tplc="0416001B" w:tentative="1">
      <w:start w:val="1"/>
      <w:numFmt w:val="lowerRoman"/>
      <w:lvlText w:val="%3."/>
      <w:lvlJc w:val="right"/>
      <w:pPr>
        <w:ind w:left="3656" w:hanging="180"/>
      </w:pPr>
    </w:lvl>
    <w:lvl w:ilvl="3" w:tplc="0416000F" w:tentative="1">
      <w:start w:val="1"/>
      <w:numFmt w:val="decimal"/>
      <w:lvlText w:val="%4."/>
      <w:lvlJc w:val="left"/>
      <w:pPr>
        <w:ind w:left="4376" w:hanging="360"/>
      </w:pPr>
    </w:lvl>
    <w:lvl w:ilvl="4" w:tplc="04160019" w:tentative="1">
      <w:start w:val="1"/>
      <w:numFmt w:val="lowerLetter"/>
      <w:lvlText w:val="%5."/>
      <w:lvlJc w:val="left"/>
      <w:pPr>
        <w:ind w:left="5096" w:hanging="360"/>
      </w:pPr>
    </w:lvl>
    <w:lvl w:ilvl="5" w:tplc="0416001B" w:tentative="1">
      <w:start w:val="1"/>
      <w:numFmt w:val="lowerRoman"/>
      <w:lvlText w:val="%6."/>
      <w:lvlJc w:val="right"/>
      <w:pPr>
        <w:ind w:left="5816" w:hanging="180"/>
      </w:pPr>
    </w:lvl>
    <w:lvl w:ilvl="6" w:tplc="0416000F" w:tentative="1">
      <w:start w:val="1"/>
      <w:numFmt w:val="decimal"/>
      <w:lvlText w:val="%7."/>
      <w:lvlJc w:val="left"/>
      <w:pPr>
        <w:ind w:left="6536" w:hanging="360"/>
      </w:pPr>
    </w:lvl>
    <w:lvl w:ilvl="7" w:tplc="04160019" w:tentative="1">
      <w:start w:val="1"/>
      <w:numFmt w:val="lowerLetter"/>
      <w:lvlText w:val="%8."/>
      <w:lvlJc w:val="left"/>
      <w:pPr>
        <w:ind w:left="7256" w:hanging="360"/>
      </w:pPr>
    </w:lvl>
    <w:lvl w:ilvl="8" w:tplc="0416001B" w:tentative="1">
      <w:start w:val="1"/>
      <w:numFmt w:val="lowerRoman"/>
      <w:lvlText w:val="%9."/>
      <w:lvlJc w:val="right"/>
      <w:pPr>
        <w:ind w:left="7976" w:hanging="180"/>
      </w:pPr>
    </w:lvl>
  </w:abstractNum>
  <w:abstractNum w:abstractNumId="19" w15:restartNumberingAfterBreak="0">
    <w:nsid w:val="46E6264B"/>
    <w:multiLevelType w:val="hybridMultilevel"/>
    <w:tmpl w:val="736E9C74"/>
    <w:lvl w:ilvl="0" w:tplc="0416000D">
      <w:start w:val="1"/>
      <w:numFmt w:val="bullet"/>
      <w:lvlText w:val=""/>
      <w:lvlJc w:val="left"/>
      <w:pPr>
        <w:ind w:left="360" w:firstLine="0"/>
      </w:pPr>
      <w:rPr>
        <w:rFonts w:ascii="Wingdings" w:hAnsi="Wingdings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75AD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AD76A9F"/>
    <w:multiLevelType w:val="hybridMultilevel"/>
    <w:tmpl w:val="59F0B8A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0221D8"/>
    <w:multiLevelType w:val="hybridMultilevel"/>
    <w:tmpl w:val="0D3C3242"/>
    <w:lvl w:ilvl="0" w:tplc="8CA87392">
      <w:start w:val="1"/>
      <w:numFmt w:val="decimal"/>
      <w:pStyle w:val="TABELA"/>
      <w:lvlText w:val="Quadro %1."/>
      <w:lvlJc w:val="center"/>
      <w:pPr>
        <w:ind w:left="720" w:hanging="360"/>
      </w:pPr>
      <w:rPr>
        <w:rFonts w:ascii="Arial" w:hAnsi="Arial" w:hint="default"/>
        <w:b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67566D"/>
    <w:multiLevelType w:val="hybridMultilevel"/>
    <w:tmpl w:val="A8462F1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0968A8"/>
    <w:multiLevelType w:val="multilevel"/>
    <w:tmpl w:val="ED28BC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3425A46"/>
    <w:multiLevelType w:val="hybridMultilevel"/>
    <w:tmpl w:val="5322A0F6"/>
    <w:lvl w:ilvl="0" w:tplc="5664993A">
      <w:start w:val="1"/>
      <w:numFmt w:val="decimal"/>
      <w:pStyle w:val="EXERCCIOS"/>
      <w:lvlText w:val="Exercício %1."/>
      <w:lvlJc w:val="left"/>
      <w:pPr>
        <w:ind w:left="927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0AA2945"/>
    <w:multiLevelType w:val="hybridMultilevel"/>
    <w:tmpl w:val="DFDA61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0E50672"/>
    <w:multiLevelType w:val="hybridMultilevel"/>
    <w:tmpl w:val="F0D02294"/>
    <w:lvl w:ilvl="0" w:tplc="0066AF6E">
      <w:start w:val="1"/>
      <w:numFmt w:val="decimal"/>
      <w:lvlText w:val="%1 -"/>
      <w:lvlJc w:val="left"/>
      <w:pPr>
        <w:ind w:left="360" w:firstLine="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0E1ACC"/>
    <w:multiLevelType w:val="hybridMultilevel"/>
    <w:tmpl w:val="08E0EBB0"/>
    <w:lvl w:ilvl="0" w:tplc="EB46862E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096972"/>
    <w:multiLevelType w:val="hybridMultilevel"/>
    <w:tmpl w:val="29701FE8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6731F2C"/>
    <w:multiLevelType w:val="hybridMultilevel"/>
    <w:tmpl w:val="4AD425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7">
      <w:start w:val="1"/>
      <w:numFmt w:val="lowerLetter"/>
      <w:lvlText w:val="%2)"/>
      <w:lvlJc w:val="left"/>
      <w:pPr>
        <w:ind w:left="1440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D63FAF"/>
    <w:multiLevelType w:val="hybridMultilevel"/>
    <w:tmpl w:val="B31A93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D868CB"/>
    <w:multiLevelType w:val="hybridMultilevel"/>
    <w:tmpl w:val="E2A8DF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B21233"/>
    <w:multiLevelType w:val="multilevel"/>
    <w:tmpl w:val="FE2C923A"/>
    <w:lvl w:ilvl="0">
      <w:start w:val="1"/>
      <w:numFmt w:val="decimal"/>
      <w:pStyle w:val="SUB-TTULO1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pStyle w:val="SUB-TTULO2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34" w15:restartNumberingAfterBreak="0">
    <w:nsid w:val="74C57003"/>
    <w:multiLevelType w:val="multilevel"/>
    <w:tmpl w:val="7C88CE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 - 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79296D09"/>
    <w:multiLevelType w:val="hybridMultilevel"/>
    <w:tmpl w:val="A3D4856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E667B"/>
    <w:multiLevelType w:val="hybridMultilevel"/>
    <w:tmpl w:val="903E19F8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2"/>
  </w:num>
  <w:num w:numId="3">
    <w:abstractNumId w:val="25"/>
  </w:num>
  <w:num w:numId="4">
    <w:abstractNumId w:val="29"/>
  </w:num>
  <w:num w:numId="5">
    <w:abstractNumId w:val="4"/>
  </w:num>
  <w:num w:numId="6">
    <w:abstractNumId w:val="3"/>
  </w:num>
  <w:num w:numId="7">
    <w:abstractNumId w:val="28"/>
  </w:num>
  <w:num w:numId="8">
    <w:abstractNumId w:val="17"/>
  </w:num>
  <w:num w:numId="9">
    <w:abstractNumId w:val="16"/>
  </w:num>
  <w:num w:numId="10">
    <w:abstractNumId w:val="13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</w:num>
  <w:num w:numId="17">
    <w:abstractNumId w:val="0"/>
  </w:num>
  <w:num w:numId="18">
    <w:abstractNumId w:val="11"/>
  </w:num>
  <w:num w:numId="19">
    <w:abstractNumId w:val="30"/>
  </w:num>
  <w:num w:numId="20">
    <w:abstractNumId w:val="1"/>
  </w:num>
  <w:num w:numId="21">
    <w:abstractNumId w:val="7"/>
  </w:num>
  <w:num w:numId="22">
    <w:abstractNumId w:val="24"/>
  </w:num>
  <w:num w:numId="23">
    <w:abstractNumId w:val="20"/>
  </w:num>
  <w:num w:numId="24">
    <w:abstractNumId w:val="9"/>
  </w:num>
  <w:num w:numId="25">
    <w:abstractNumId w:val="31"/>
  </w:num>
  <w:num w:numId="26">
    <w:abstractNumId w:val="12"/>
  </w:num>
  <w:num w:numId="27">
    <w:abstractNumId w:val="14"/>
  </w:num>
  <w:num w:numId="28">
    <w:abstractNumId w:val="32"/>
  </w:num>
  <w:num w:numId="29">
    <w:abstractNumId w:val="2"/>
  </w:num>
  <w:num w:numId="30">
    <w:abstractNumId w:val="6"/>
  </w:num>
  <w:num w:numId="31">
    <w:abstractNumId w:val="34"/>
  </w:num>
  <w:num w:numId="32">
    <w:abstractNumId w:val="35"/>
  </w:num>
  <w:num w:numId="33">
    <w:abstractNumId w:val="10"/>
  </w:num>
  <w:num w:numId="34">
    <w:abstractNumId w:val="18"/>
  </w:num>
  <w:num w:numId="35">
    <w:abstractNumId w:val="21"/>
  </w:num>
  <w:num w:numId="36">
    <w:abstractNumId w:val="23"/>
  </w:num>
  <w:num w:numId="37">
    <w:abstractNumId w:val="8"/>
  </w:num>
  <w:num w:numId="38">
    <w:abstractNumId w:val="36"/>
  </w:num>
  <w:num w:numId="39">
    <w:abstractNumId w:val="26"/>
  </w:num>
  <w:num w:numId="40">
    <w:abstractNumId w:val="27"/>
  </w:num>
  <w:num w:numId="41">
    <w:abstractNumId w:val="19"/>
  </w:num>
  <w:num w:numId="42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851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749"/>
    <w:rsid w:val="00000C68"/>
    <w:rsid w:val="00001001"/>
    <w:rsid w:val="0000183F"/>
    <w:rsid w:val="00002688"/>
    <w:rsid w:val="00005C34"/>
    <w:rsid w:val="00006283"/>
    <w:rsid w:val="00006BD5"/>
    <w:rsid w:val="0001046D"/>
    <w:rsid w:val="00010546"/>
    <w:rsid w:val="000116C2"/>
    <w:rsid w:val="00015DD2"/>
    <w:rsid w:val="0002097A"/>
    <w:rsid w:val="00021656"/>
    <w:rsid w:val="00021BE2"/>
    <w:rsid w:val="0002433E"/>
    <w:rsid w:val="0002473A"/>
    <w:rsid w:val="00026B28"/>
    <w:rsid w:val="00027A64"/>
    <w:rsid w:val="00031191"/>
    <w:rsid w:val="00032ED4"/>
    <w:rsid w:val="00036B4F"/>
    <w:rsid w:val="00037792"/>
    <w:rsid w:val="00042989"/>
    <w:rsid w:val="00042D7B"/>
    <w:rsid w:val="00046D59"/>
    <w:rsid w:val="00046E57"/>
    <w:rsid w:val="00046F69"/>
    <w:rsid w:val="0004781E"/>
    <w:rsid w:val="00050DDE"/>
    <w:rsid w:val="0005258A"/>
    <w:rsid w:val="000549CD"/>
    <w:rsid w:val="00054BC5"/>
    <w:rsid w:val="00054C09"/>
    <w:rsid w:val="00061A05"/>
    <w:rsid w:val="000621A4"/>
    <w:rsid w:val="00062D9A"/>
    <w:rsid w:val="00064A8E"/>
    <w:rsid w:val="00067FDB"/>
    <w:rsid w:val="000707DD"/>
    <w:rsid w:val="00070817"/>
    <w:rsid w:val="00071714"/>
    <w:rsid w:val="00072255"/>
    <w:rsid w:val="00075230"/>
    <w:rsid w:val="00076DB8"/>
    <w:rsid w:val="00077F34"/>
    <w:rsid w:val="00083082"/>
    <w:rsid w:val="000838F5"/>
    <w:rsid w:val="00091E39"/>
    <w:rsid w:val="00093A90"/>
    <w:rsid w:val="00095BE0"/>
    <w:rsid w:val="0009788E"/>
    <w:rsid w:val="000A0A83"/>
    <w:rsid w:val="000A1FA2"/>
    <w:rsid w:val="000A315D"/>
    <w:rsid w:val="000A4666"/>
    <w:rsid w:val="000A5441"/>
    <w:rsid w:val="000A68CF"/>
    <w:rsid w:val="000B2175"/>
    <w:rsid w:val="000B27B6"/>
    <w:rsid w:val="000C4539"/>
    <w:rsid w:val="000C6ABB"/>
    <w:rsid w:val="000C7944"/>
    <w:rsid w:val="000C7AA1"/>
    <w:rsid w:val="000D14EC"/>
    <w:rsid w:val="000D6D7F"/>
    <w:rsid w:val="000E2D48"/>
    <w:rsid w:val="000E64C5"/>
    <w:rsid w:val="000E68E0"/>
    <w:rsid w:val="000E6E24"/>
    <w:rsid w:val="000F0506"/>
    <w:rsid w:val="000F197E"/>
    <w:rsid w:val="000F1B13"/>
    <w:rsid w:val="000F229B"/>
    <w:rsid w:val="000F2832"/>
    <w:rsid w:val="000F4235"/>
    <w:rsid w:val="001042B7"/>
    <w:rsid w:val="00104504"/>
    <w:rsid w:val="00105410"/>
    <w:rsid w:val="00106180"/>
    <w:rsid w:val="001101D2"/>
    <w:rsid w:val="0011045D"/>
    <w:rsid w:val="001111FC"/>
    <w:rsid w:val="00111DA5"/>
    <w:rsid w:val="0011514D"/>
    <w:rsid w:val="00116CF1"/>
    <w:rsid w:val="00120D28"/>
    <w:rsid w:val="001210CD"/>
    <w:rsid w:val="00122392"/>
    <w:rsid w:val="001229C1"/>
    <w:rsid w:val="0012309C"/>
    <w:rsid w:val="00130613"/>
    <w:rsid w:val="0013153F"/>
    <w:rsid w:val="00132BFF"/>
    <w:rsid w:val="00133845"/>
    <w:rsid w:val="00134427"/>
    <w:rsid w:val="00134E29"/>
    <w:rsid w:val="00136CC1"/>
    <w:rsid w:val="001375FB"/>
    <w:rsid w:val="00137B0A"/>
    <w:rsid w:val="00137EC3"/>
    <w:rsid w:val="00141A43"/>
    <w:rsid w:val="001427E5"/>
    <w:rsid w:val="001428F3"/>
    <w:rsid w:val="0014355F"/>
    <w:rsid w:val="00144C25"/>
    <w:rsid w:val="001473E9"/>
    <w:rsid w:val="001523AE"/>
    <w:rsid w:val="0015275C"/>
    <w:rsid w:val="00152AFD"/>
    <w:rsid w:val="001543C1"/>
    <w:rsid w:val="001576B3"/>
    <w:rsid w:val="001579D1"/>
    <w:rsid w:val="00157EA8"/>
    <w:rsid w:val="00162355"/>
    <w:rsid w:val="001657AC"/>
    <w:rsid w:val="00165D4F"/>
    <w:rsid w:val="00165D96"/>
    <w:rsid w:val="001679D9"/>
    <w:rsid w:val="001703A7"/>
    <w:rsid w:val="00174542"/>
    <w:rsid w:val="00176584"/>
    <w:rsid w:val="00181E18"/>
    <w:rsid w:val="0018238E"/>
    <w:rsid w:val="00185766"/>
    <w:rsid w:val="00186A66"/>
    <w:rsid w:val="00187B06"/>
    <w:rsid w:val="00190B52"/>
    <w:rsid w:val="00192CB8"/>
    <w:rsid w:val="0019557C"/>
    <w:rsid w:val="001A01A8"/>
    <w:rsid w:val="001A28CD"/>
    <w:rsid w:val="001A5EF9"/>
    <w:rsid w:val="001A670D"/>
    <w:rsid w:val="001A6BC0"/>
    <w:rsid w:val="001B22F5"/>
    <w:rsid w:val="001B7346"/>
    <w:rsid w:val="001B75FD"/>
    <w:rsid w:val="001B7718"/>
    <w:rsid w:val="001C7933"/>
    <w:rsid w:val="001D0478"/>
    <w:rsid w:val="001D0508"/>
    <w:rsid w:val="001D0E7A"/>
    <w:rsid w:val="001D1776"/>
    <w:rsid w:val="001D1842"/>
    <w:rsid w:val="001D3425"/>
    <w:rsid w:val="001D3E96"/>
    <w:rsid w:val="001D53AF"/>
    <w:rsid w:val="001E0876"/>
    <w:rsid w:val="001E11B9"/>
    <w:rsid w:val="001E30FF"/>
    <w:rsid w:val="001E38AB"/>
    <w:rsid w:val="001E72AC"/>
    <w:rsid w:val="001F2339"/>
    <w:rsid w:val="0020017E"/>
    <w:rsid w:val="0020471B"/>
    <w:rsid w:val="00207D20"/>
    <w:rsid w:val="00216458"/>
    <w:rsid w:val="00216916"/>
    <w:rsid w:val="00216EC6"/>
    <w:rsid w:val="00217C41"/>
    <w:rsid w:val="00234457"/>
    <w:rsid w:val="00236FBE"/>
    <w:rsid w:val="002400AF"/>
    <w:rsid w:val="00242650"/>
    <w:rsid w:val="00243612"/>
    <w:rsid w:val="00244669"/>
    <w:rsid w:val="002459CA"/>
    <w:rsid w:val="00254EDD"/>
    <w:rsid w:val="002562FF"/>
    <w:rsid w:val="00256F0F"/>
    <w:rsid w:val="002610A7"/>
    <w:rsid w:val="002643F6"/>
    <w:rsid w:val="00264F95"/>
    <w:rsid w:val="00265101"/>
    <w:rsid w:val="00265F92"/>
    <w:rsid w:val="002670F5"/>
    <w:rsid w:val="00273865"/>
    <w:rsid w:val="00273967"/>
    <w:rsid w:val="00277507"/>
    <w:rsid w:val="00281BB7"/>
    <w:rsid w:val="0028248D"/>
    <w:rsid w:val="00283E47"/>
    <w:rsid w:val="00286E7E"/>
    <w:rsid w:val="00290CA5"/>
    <w:rsid w:val="0029212F"/>
    <w:rsid w:val="00292450"/>
    <w:rsid w:val="002924F7"/>
    <w:rsid w:val="002948EB"/>
    <w:rsid w:val="0029673C"/>
    <w:rsid w:val="00296FD7"/>
    <w:rsid w:val="00297DD9"/>
    <w:rsid w:val="002A1203"/>
    <w:rsid w:val="002A6D65"/>
    <w:rsid w:val="002B363F"/>
    <w:rsid w:val="002C3B1F"/>
    <w:rsid w:val="002C66C0"/>
    <w:rsid w:val="002C7957"/>
    <w:rsid w:val="002D33B6"/>
    <w:rsid w:val="002E0210"/>
    <w:rsid w:val="002E30C7"/>
    <w:rsid w:val="002E3216"/>
    <w:rsid w:val="002E3747"/>
    <w:rsid w:val="002E5A81"/>
    <w:rsid w:val="002E7567"/>
    <w:rsid w:val="002F0586"/>
    <w:rsid w:val="002F1BC8"/>
    <w:rsid w:val="002F3CF3"/>
    <w:rsid w:val="002F6314"/>
    <w:rsid w:val="00301D0F"/>
    <w:rsid w:val="00302B9C"/>
    <w:rsid w:val="00305143"/>
    <w:rsid w:val="00305917"/>
    <w:rsid w:val="00305CDA"/>
    <w:rsid w:val="003105F0"/>
    <w:rsid w:val="00313464"/>
    <w:rsid w:val="00313518"/>
    <w:rsid w:val="00313DC5"/>
    <w:rsid w:val="00321B94"/>
    <w:rsid w:val="00325347"/>
    <w:rsid w:val="00326BFE"/>
    <w:rsid w:val="003273BE"/>
    <w:rsid w:val="00327B20"/>
    <w:rsid w:val="00327B38"/>
    <w:rsid w:val="00333251"/>
    <w:rsid w:val="00333440"/>
    <w:rsid w:val="00333EC8"/>
    <w:rsid w:val="0033435D"/>
    <w:rsid w:val="0034089A"/>
    <w:rsid w:val="00347682"/>
    <w:rsid w:val="003501CD"/>
    <w:rsid w:val="0035242D"/>
    <w:rsid w:val="00352485"/>
    <w:rsid w:val="003643EF"/>
    <w:rsid w:val="00367A5F"/>
    <w:rsid w:val="00372EF5"/>
    <w:rsid w:val="00373662"/>
    <w:rsid w:val="00373E65"/>
    <w:rsid w:val="00374D9C"/>
    <w:rsid w:val="003762E6"/>
    <w:rsid w:val="00377770"/>
    <w:rsid w:val="00381958"/>
    <w:rsid w:val="00381996"/>
    <w:rsid w:val="0038218A"/>
    <w:rsid w:val="003848A5"/>
    <w:rsid w:val="00390B37"/>
    <w:rsid w:val="00392CB1"/>
    <w:rsid w:val="003A054D"/>
    <w:rsid w:val="003A0663"/>
    <w:rsid w:val="003A19E8"/>
    <w:rsid w:val="003A21AD"/>
    <w:rsid w:val="003A36E6"/>
    <w:rsid w:val="003A43E1"/>
    <w:rsid w:val="003B108D"/>
    <w:rsid w:val="003B25BB"/>
    <w:rsid w:val="003B378B"/>
    <w:rsid w:val="003B406F"/>
    <w:rsid w:val="003B5200"/>
    <w:rsid w:val="003B73F5"/>
    <w:rsid w:val="003C245D"/>
    <w:rsid w:val="003D05B4"/>
    <w:rsid w:val="003D178C"/>
    <w:rsid w:val="003D24C3"/>
    <w:rsid w:val="003D2ABE"/>
    <w:rsid w:val="003D2F97"/>
    <w:rsid w:val="003D4901"/>
    <w:rsid w:val="003D6306"/>
    <w:rsid w:val="003E0097"/>
    <w:rsid w:val="003E09B5"/>
    <w:rsid w:val="003E0DC5"/>
    <w:rsid w:val="003E177A"/>
    <w:rsid w:val="003E22D0"/>
    <w:rsid w:val="003E2AB1"/>
    <w:rsid w:val="003E3511"/>
    <w:rsid w:val="003F0463"/>
    <w:rsid w:val="003F2543"/>
    <w:rsid w:val="003F3459"/>
    <w:rsid w:val="003F6250"/>
    <w:rsid w:val="003F7273"/>
    <w:rsid w:val="00401A3D"/>
    <w:rsid w:val="004026D1"/>
    <w:rsid w:val="00405080"/>
    <w:rsid w:val="00406A1A"/>
    <w:rsid w:val="00407B1E"/>
    <w:rsid w:val="00407CD4"/>
    <w:rsid w:val="00407FA7"/>
    <w:rsid w:val="004102A6"/>
    <w:rsid w:val="0041115C"/>
    <w:rsid w:val="0041252B"/>
    <w:rsid w:val="004125A0"/>
    <w:rsid w:val="004156BD"/>
    <w:rsid w:val="004177F8"/>
    <w:rsid w:val="0042163D"/>
    <w:rsid w:val="00421657"/>
    <w:rsid w:val="00423B32"/>
    <w:rsid w:val="00424B49"/>
    <w:rsid w:val="00426936"/>
    <w:rsid w:val="00433E7E"/>
    <w:rsid w:val="00433F65"/>
    <w:rsid w:val="004351B8"/>
    <w:rsid w:val="00435F07"/>
    <w:rsid w:val="00437BCE"/>
    <w:rsid w:val="0044054E"/>
    <w:rsid w:val="00443D7A"/>
    <w:rsid w:val="004465DB"/>
    <w:rsid w:val="0045005F"/>
    <w:rsid w:val="00450317"/>
    <w:rsid w:val="00450433"/>
    <w:rsid w:val="004506BD"/>
    <w:rsid w:val="00450E7B"/>
    <w:rsid w:val="00453C97"/>
    <w:rsid w:val="00456A1B"/>
    <w:rsid w:val="00460893"/>
    <w:rsid w:val="00461DDC"/>
    <w:rsid w:val="00462049"/>
    <w:rsid w:val="004627D1"/>
    <w:rsid w:val="00463539"/>
    <w:rsid w:val="00464E32"/>
    <w:rsid w:val="00465366"/>
    <w:rsid w:val="0046554D"/>
    <w:rsid w:val="004672FA"/>
    <w:rsid w:val="00467A8D"/>
    <w:rsid w:val="00467FD1"/>
    <w:rsid w:val="004725EF"/>
    <w:rsid w:val="00474F8D"/>
    <w:rsid w:val="00482574"/>
    <w:rsid w:val="00487581"/>
    <w:rsid w:val="00487F1A"/>
    <w:rsid w:val="0049002F"/>
    <w:rsid w:val="0049156C"/>
    <w:rsid w:val="00492703"/>
    <w:rsid w:val="00493669"/>
    <w:rsid w:val="00497116"/>
    <w:rsid w:val="00497E2B"/>
    <w:rsid w:val="004A0212"/>
    <w:rsid w:val="004A3600"/>
    <w:rsid w:val="004A4B12"/>
    <w:rsid w:val="004B17BC"/>
    <w:rsid w:val="004B3809"/>
    <w:rsid w:val="004B5E5A"/>
    <w:rsid w:val="004B71A6"/>
    <w:rsid w:val="004C19A4"/>
    <w:rsid w:val="004C449E"/>
    <w:rsid w:val="004C4A63"/>
    <w:rsid w:val="004C4BE4"/>
    <w:rsid w:val="004C6713"/>
    <w:rsid w:val="004C67E3"/>
    <w:rsid w:val="004C7022"/>
    <w:rsid w:val="004D17C2"/>
    <w:rsid w:val="004D2F59"/>
    <w:rsid w:val="004D4432"/>
    <w:rsid w:val="004D4D12"/>
    <w:rsid w:val="004D573B"/>
    <w:rsid w:val="004D5DF7"/>
    <w:rsid w:val="004D6843"/>
    <w:rsid w:val="004D7443"/>
    <w:rsid w:val="004E0E38"/>
    <w:rsid w:val="004E5364"/>
    <w:rsid w:val="004E5B32"/>
    <w:rsid w:val="004F0749"/>
    <w:rsid w:val="004F3F89"/>
    <w:rsid w:val="004F4ED8"/>
    <w:rsid w:val="004F6349"/>
    <w:rsid w:val="00504425"/>
    <w:rsid w:val="00504BEF"/>
    <w:rsid w:val="00505C15"/>
    <w:rsid w:val="005064F5"/>
    <w:rsid w:val="0051525D"/>
    <w:rsid w:val="00515B85"/>
    <w:rsid w:val="00517F2F"/>
    <w:rsid w:val="00521DB9"/>
    <w:rsid w:val="0052462D"/>
    <w:rsid w:val="005246A9"/>
    <w:rsid w:val="00524918"/>
    <w:rsid w:val="00524934"/>
    <w:rsid w:val="00526D4C"/>
    <w:rsid w:val="00526ED8"/>
    <w:rsid w:val="0053243C"/>
    <w:rsid w:val="00535875"/>
    <w:rsid w:val="00536AF7"/>
    <w:rsid w:val="00540013"/>
    <w:rsid w:val="005461AE"/>
    <w:rsid w:val="0054626D"/>
    <w:rsid w:val="005515CC"/>
    <w:rsid w:val="00551A36"/>
    <w:rsid w:val="005532C4"/>
    <w:rsid w:val="0055438E"/>
    <w:rsid w:val="005544F9"/>
    <w:rsid w:val="00554508"/>
    <w:rsid w:val="00561535"/>
    <w:rsid w:val="0056210A"/>
    <w:rsid w:val="00564726"/>
    <w:rsid w:val="005714A4"/>
    <w:rsid w:val="00571E1E"/>
    <w:rsid w:val="00573FCA"/>
    <w:rsid w:val="005753A5"/>
    <w:rsid w:val="005757DE"/>
    <w:rsid w:val="00581BF5"/>
    <w:rsid w:val="00581E11"/>
    <w:rsid w:val="00583281"/>
    <w:rsid w:val="00590212"/>
    <w:rsid w:val="005946B3"/>
    <w:rsid w:val="005959A1"/>
    <w:rsid w:val="00597D95"/>
    <w:rsid w:val="005A0943"/>
    <w:rsid w:val="005A3F6F"/>
    <w:rsid w:val="005A44D3"/>
    <w:rsid w:val="005A60F4"/>
    <w:rsid w:val="005A707C"/>
    <w:rsid w:val="005A7312"/>
    <w:rsid w:val="005A74A6"/>
    <w:rsid w:val="005B03DB"/>
    <w:rsid w:val="005B2A60"/>
    <w:rsid w:val="005B3793"/>
    <w:rsid w:val="005B6160"/>
    <w:rsid w:val="005B6735"/>
    <w:rsid w:val="005B6AD2"/>
    <w:rsid w:val="005B79FB"/>
    <w:rsid w:val="005C165B"/>
    <w:rsid w:val="005C3146"/>
    <w:rsid w:val="005C350D"/>
    <w:rsid w:val="005C35C1"/>
    <w:rsid w:val="005C6CC3"/>
    <w:rsid w:val="005C7915"/>
    <w:rsid w:val="005D0BCC"/>
    <w:rsid w:val="005D1DE5"/>
    <w:rsid w:val="005D297F"/>
    <w:rsid w:val="005D5D29"/>
    <w:rsid w:val="005D75F5"/>
    <w:rsid w:val="005E0D91"/>
    <w:rsid w:val="005E119F"/>
    <w:rsid w:val="005E42B0"/>
    <w:rsid w:val="005E5FFB"/>
    <w:rsid w:val="005E7258"/>
    <w:rsid w:val="005F0760"/>
    <w:rsid w:val="005F12A0"/>
    <w:rsid w:val="005F23C2"/>
    <w:rsid w:val="00601741"/>
    <w:rsid w:val="00601E3F"/>
    <w:rsid w:val="00602EB9"/>
    <w:rsid w:val="00603BA0"/>
    <w:rsid w:val="0060488F"/>
    <w:rsid w:val="00604B52"/>
    <w:rsid w:val="00606B04"/>
    <w:rsid w:val="00607101"/>
    <w:rsid w:val="00610C9E"/>
    <w:rsid w:val="00611A9F"/>
    <w:rsid w:val="00611EA1"/>
    <w:rsid w:val="00613BA3"/>
    <w:rsid w:val="00613F00"/>
    <w:rsid w:val="00614477"/>
    <w:rsid w:val="00614928"/>
    <w:rsid w:val="00614982"/>
    <w:rsid w:val="00616CB8"/>
    <w:rsid w:val="00617F12"/>
    <w:rsid w:val="0062002E"/>
    <w:rsid w:val="006218C6"/>
    <w:rsid w:val="0062190A"/>
    <w:rsid w:val="00623ED8"/>
    <w:rsid w:val="006241B4"/>
    <w:rsid w:val="006248CE"/>
    <w:rsid w:val="00632CB8"/>
    <w:rsid w:val="0063348F"/>
    <w:rsid w:val="00634C1E"/>
    <w:rsid w:val="00634CA3"/>
    <w:rsid w:val="00636513"/>
    <w:rsid w:val="00640B26"/>
    <w:rsid w:val="00642139"/>
    <w:rsid w:val="00643071"/>
    <w:rsid w:val="00644FA7"/>
    <w:rsid w:val="00646024"/>
    <w:rsid w:val="006473AD"/>
    <w:rsid w:val="006478EE"/>
    <w:rsid w:val="00651F79"/>
    <w:rsid w:val="006534D3"/>
    <w:rsid w:val="006535EF"/>
    <w:rsid w:val="0066027B"/>
    <w:rsid w:val="006615D3"/>
    <w:rsid w:val="0066196C"/>
    <w:rsid w:val="006669CE"/>
    <w:rsid w:val="006706AC"/>
    <w:rsid w:val="006712A6"/>
    <w:rsid w:val="0067137B"/>
    <w:rsid w:val="00671D53"/>
    <w:rsid w:val="006729CB"/>
    <w:rsid w:val="00674637"/>
    <w:rsid w:val="0067544B"/>
    <w:rsid w:val="0067568C"/>
    <w:rsid w:val="00677DB9"/>
    <w:rsid w:val="00680E1A"/>
    <w:rsid w:val="00682B9C"/>
    <w:rsid w:val="00683FC1"/>
    <w:rsid w:val="00687134"/>
    <w:rsid w:val="0069059D"/>
    <w:rsid w:val="006912ED"/>
    <w:rsid w:val="00691809"/>
    <w:rsid w:val="00695FD4"/>
    <w:rsid w:val="006970F7"/>
    <w:rsid w:val="006974DC"/>
    <w:rsid w:val="006A0F74"/>
    <w:rsid w:val="006A2235"/>
    <w:rsid w:val="006A2A08"/>
    <w:rsid w:val="006A5DC9"/>
    <w:rsid w:val="006B03D2"/>
    <w:rsid w:val="006B1C31"/>
    <w:rsid w:val="006B2727"/>
    <w:rsid w:val="006B3055"/>
    <w:rsid w:val="006B3310"/>
    <w:rsid w:val="006C1B3D"/>
    <w:rsid w:val="006C768F"/>
    <w:rsid w:val="006C7DD5"/>
    <w:rsid w:val="006D4597"/>
    <w:rsid w:val="006E4890"/>
    <w:rsid w:val="006E615C"/>
    <w:rsid w:val="006E65A1"/>
    <w:rsid w:val="006E6D16"/>
    <w:rsid w:val="006F55B4"/>
    <w:rsid w:val="006F5CCB"/>
    <w:rsid w:val="006F5DE6"/>
    <w:rsid w:val="006F633A"/>
    <w:rsid w:val="006F7D53"/>
    <w:rsid w:val="00707C82"/>
    <w:rsid w:val="00717633"/>
    <w:rsid w:val="00720605"/>
    <w:rsid w:val="007216D9"/>
    <w:rsid w:val="00721AA6"/>
    <w:rsid w:val="00721F23"/>
    <w:rsid w:val="00727E5B"/>
    <w:rsid w:val="007300DA"/>
    <w:rsid w:val="007317D4"/>
    <w:rsid w:val="0073337B"/>
    <w:rsid w:val="007349F0"/>
    <w:rsid w:val="007461E0"/>
    <w:rsid w:val="0075445C"/>
    <w:rsid w:val="007558F0"/>
    <w:rsid w:val="007578EA"/>
    <w:rsid w:val="00757928"/>
    <w:rsid w:val="007614F3"/>
    <w:rsid w:val="00764923"/>
    <w:rsid w:val="00772A66"/>
    <w:rsid w:val="007737F3"/>
    <w:rsid w:val="00774501"/>
    <w:rsid w:val="007759E4"/>
    <w:rsid w:val="00777253"/>
    <w:rsid w:val="0078332D"/>
    <w:rsid w:val="007847D3"/>
    <w:rsid w:val="007870C3"/>
    <w:rsid w:val="007900D8"/>
    <w:rsid w:val="00791716"/>
    <w:rsid w:val="0079202C"/>
    <w:rsid w:val="0079752A"/>
    <w:rsid w:val="007A180E"/>
    <w:rsid w:val="007A65ED"/>
    <w:rsid w:val="007A7ACC"/>
    <w:rsid w:val="007B7212"/>
    <w:rsid w:val="007C5D2A"/>
    <w:rsid w:val="007C6DF1"/>
    <w:rsid w:val="007D08D8"/>
    <w:rsid w:val="007D23D6"/>
    <w:rsid w:val="007D3A74"/>
    <w:rsid w:val="007D5DBD"/>
    <w:rsid w:val="007E13CB"/>
    <w:rsid w:val="007E1A00"/>
    <w:rsid w:val="007E223F"/>
    <w:rsid w:val="007E2CAF"/>
    <w:rsid w:val="007E6B60"/>
    <w:rsid w:val="007F06A7"/>
    <w:rsid w:val="007F54D3"/>
    <w:rsid w:val="007F63C2"/>
    <w:rsid w:val="007F6976"/>
    <w:rsid w:val="007F69D9"/>
    <w:rsid w:val="007F6FF4"/>
    <w:rsid w:val="0080018E"/>
    <w:rsid w:val="008009C3"/>
    <w:rsid w:val="00802C9A"/>
    <w:rsid w:val="00807EA4"/>
    <w:rsid w:val="00813A7B"/>
    <w:rsid w:val="00813D35"/>
    <w:rsid w:val="00815A9B"/>
    <w:rsid w:val="00821DB3"/>
    <w:rsid w:val="00823884"/>
    <w:rsid w:val="00823CE9"/>
    <w:rsid w:val="0083157F"/>
    <w:rsid w:val="00832AED"/>
    <w:rsid w:val="008338EB"/>
    <w:rsid w:val="00833F7A"/>
    <w:rsid w:val="008346B7"/>
    <w:rsid w:val="00834817"/>
    <w:rsid w:val="008363BF"/>
    <w:rsid w:val="00836A16"/>
    <w:rsid w:val="00837A25"/>
    <w:rsid w:val="0084007D"/>
    <w:rsid w:val="00843007"/>
    <w:rsid w:val="0084527A"/>
    <w:rsid w:val="00846B48"/>
    <w:rsid w:val="00846D0C"/>
    <w:rsid w:val="008507A2"/>
    <w:rsid w:val="00851283"/>
    <w:rsid w:val="00851D76"/>
    <w:rsid w:val="00852B32"/>
    <w:rsid w:val="00853DBC"/>
    <w:rsid w:val="008569E9"/>
    <w:rsid w:val="0085730E"/>
    <w:rsid w:val="0086264B"/>
    <w:rsid w:val="00863108"/>
    <w:rsid w:val="0086747C"/>
    <w:rsid w:val="00871DA6"/>
    <w:rsid w:val="0087211B"/>
    <w:rsid w:val="00873B69"/>
    <w:rsid w:val="0087416C"/>
    <w:rsid w:val="008811C9"/>
    <w:rsid w:val="00881423"/>
    <w:rsid w:val="00882135"/>
    <w:rsid w:val="00884DDE"/>
    <w:rsid w:val="008860CE"/>
    <w:rsid w:val="00893DF8"/>
    <w:rsid w:val="0089479B"/>
    <w:rsid w:val="008A0D77"/>
    <w:rsid w:val="008A444E"/>
    <w:rsid w:val="008A6A55"/>
    <w:rsid w:val="008B03B3"/>
    <w:rsid w:val="008B155D"/>
    <w:rsid w:val="008B335E"/>
    <w:rsid w:val="008B3BDF"/>
    <w:rsid w:val="008B4EBE"/>
    <w:rsid w:val="008B4FB6"/>
    <w:rsid w:val="008B5154"/>
    <w:rsid w:val="008B663C"/>
    <w:rsid w:val="008C3FA0"/>
    <w:rsid w:val="008C5BA0"/>
    <w:rsid w:val="008D1038"/>
    <w:rsid w:val="008D1E80"/>
    <w:rsid w:val="008D32C2"/>
    <w:rsid w:val="008D4BED"/>
    <w:rsid w:val="008D4FB0"/>
    <w:rsid w:val="008D5E0A"/>
    <w:rsid w:val="008D6B58"/>
    <w:rsid w:val="008E0DCF"/>
    <w:rsid w:val="008E0F09"/>
    <w:rsid w:val="008E15A9"/>
    <w:rsid w:val="008E1692"/>
    <w:rsid w:val="008E2010"/>
    <w:rsid w:val="008E2D6A"/>
    <w:rsid w:val="008E2F2A"/>
    <w:rsid w:val="008E5798"/>
    <w:rsid w:val="008E5C08"/>
    <w:rsid w:val="008E65C4"/>
    <w:rsid w:val="008F0106"/>
    <w:rsid w:val="008F1B17"/>
    <w:rsid w:val="008F30F8"/>
    <w:rsid w:val="008F55C7"/>
    <w:rsid w:val="008F71D4"/>
    <w:rsid w:val="008F72EB"/>
    <w:rsid w:val="00900A90"/>
    <w:rsid w:val="00901130"/>
    <w:rsid w:val="00901E0B"/>
    <w:rsid w:val="00903C12"/>
    <w:rsid w:val="00904D92"/>
    <w:rsid w:val="00905C94"/>
    <w:rsid w:val="00905D53"/>
    <w:rsid w:val="00906A93"/>
    <w:rsid w:val="00906FF8"/>
    <w:rsid w:val="00910AD6"/>
    <w:rsid w:val="00910D65"/>
    <w:rsid w:val="009131C8"/>
    <w:rsid w:val="00917015"/>
    <w:rsid w:val="00917935"/>
    <w:rsid w:val="00917F40"/>
    <w:rsid w:val="009234BB"/>
    <w:rsid w:val="009271CD"/>
    <w:rsid w:val="00934926"/>
    <w:rsid w:val="009372B7"/>
    <w:rsid w:val="009424FA"/>
    <w:rsid w:val="00943497"/>
    <w:rsid w:val="00946017"/>
    <w:rsid w:val="00952BB3"/>
    <w:rsid w:val="00954F36"/>
    <w:rsid w:val="009573CA"/>
    <w:rsid w:val="00957501"/>
    <w:rsid w:val="00960444"/>
    <w:rsid w:val="00962A29"/>
    <w:rsid w:val="00967456"/>
    <w:rsid w:val="00967B80"/>
    <w:rsid w:val="00967EAD"/>
    <w:rsid w:val="0097008A"/>
    <w:rsid w:val="009724CE"/>
    <w:rsid w:val="00977D6D"/>
    <w:rsid w:val="009802DB"/>
    <w:rsid w:val="009824E5"/>
    <w:rsid w:val="009825FD"/>
    <w:rsid w:val="0098597D"/>
    <w:rsid w:val="00987C30"/>
    <w:rsid w:val="00993AA4"/>
    <w:rsid w:val="0099505F"/>
    <w:rsid w:val="009972C0"/>
    <w:rsid w:val="009A0BCA"/>
    <w:rsid w:val="009A1208"/>
    <w:rsid w:val="009A1374"/>
    <w:rsid w:val="009A47CD"/>
    <w:rsid w:val="009A7D37"/>
    <w:rsid w:val="009B3CF1"/>
    <w:rsid w:val="009B3E92"/>
    <w:rsid w:val="009C25C4"/>
    <w:rsid w:val="009C27C1"/>
    <w:rsid w:val="009C766F"/>
    <w:rsid w:val="009D2897"/>
    <w:rsid w:val="009D38BB"/>
    <w:rsid w:val="009D4F95"/>
    <w:rsid w:val="009D6B4F"/>
    <w:rsid w:val="009E43B4"/>
    <w:rsid w:val="009E4601"/>
    <w:rsid w:val="009E5BE6"/>
    <w:rsid w:val="009E667C"/>
    <w:rsid w:val="009E69ED"/>
    <w:rsid w:val="009E70B9"/>
    <w:rsid w:val="009F0419"/>
    <w:rsid w:val="009F2A32"/>
    <w:rsid w:val="009F62C0"/>
    <w:rsid w:val="009F7149"/>
    <w:rsid w:val="00A0296C"/>
    <w:rsid w:val="00A03466"/>
    <w:rsid w:val="00A03AF1"/>
    <w:rsid w:val="00A076B8"/>
    <w:rsid w:val="00A10190"/>
    <w:rsid w:val="00A1052D"/>
    <w:rsid w:val="00A1104E"/>
    <w:rsid w:val="00A1292C"/>
    <w:rsid w:val="00A12A0C"/>
    <w:rsid w:val="00A12FDB"/>
    <w:rsid w:val="00A1715A"/>
    <w:rsid w:val="00A1743B"/>
    <w:rsid w:val="00A219B9"/>
    <w:rsid w:val="00A22F3E"/>
    <w:rsid w:val="00A24F19"/>
    <w:rsid w:val="00A266B5"/>
    <w:rsid w:val="00A26EFF"/>
    <w:rsid w:val="00A27DC2"/>
    <w:rsid w:val="00A3648B"/>
    <w:rsid w:val="00A36D27"/>
    <w:rsid w:val="00A36DA0"/>
    <w:rsid w:val="00A426B8"/>
    <w:rsid w:val="00A44FF4"/>
    <w:rsid w:val="00A4596A"/>
    <w:rsid w:val="00A51258"/>
    <w:rsid w:val="00A523AF"/>
    <w:rsid w:val="00A56C1E"/>
    <w:rsid w:val="00A62E0E"/>
    <w:rsid w:val="00A63627"/>
    <w:rsid w:val="00A640F7"/>
    <w:rsid w:val="00A64BE7"/>
    <w:rsid w:val="00A67DA5"/>
    <w:rsid w:val="00A70E91"/>
    <w:rsid w:val="00A7106A"/>
    <w:rsid w:val="00A71224"/>
    <w:rsid w:val="00A754FA"/>
    <w:rsid w:val="00A76C54"/>
    <w:rsid w:val="00A776C9"/>
    <w:rsid w:val="00A7778C"/>
    <w:rsid w:val="00A77B03"/>
    <w:rsid w:val="00A81A0A"/>
    <w:rsid w:val="00A83C92"/>
    <w:rsid w:val="00A855E3"/>
    <w:rsid w:val="00A86AE4"/>
    <w:rsid w:val="00A86B10"/>
    <w:rsid w:val="00A872ED"/>
    <w:rsid w:val="00A90148"/>
    <w:rsid w:val="00A9018A"/>
    <w:rsid w:val="00A92DC2"/>
    <w:rsid w:val="00AA08AF"/>
    <w:rsid w:val="00AA18DD"/>
    <w:rsid w:val="00AA2C23"/>
    <w:rsid w:val="00AA46C6"/>
    <w:rsid w:val="00AA657C"/>
    <w:rsid w:val="00AA7B5D"/>
    <w:rsid w:val="00AA7BFE"/>
    <w:rsid w:val="00AB2C66"/>
    <w:rsid w:val="00AB3BE3"/>
    <w:rsid w:val="00AB6CD8"/>
    <w:rsid w:val="00AC0D5F"/>
    <w:rsid w:val="00AC2D43"/>
    <w:rsid w:val="00AC620B"/>
    <w:rsid w:val="00AC6283"/>
    <w:rsid w:val="00AC7B9E"/>
    <w:rsid w:val="00AD3067"/>
    <w:rsid w:val="00AD3759"/>
    <w:rsid w:val="00AD799D"/>
    <w:rsid w:val="00AE01A6"/>
    <w:rsid w:val="00AE3269"/>
    <w:rsid w:val="00AE519E"/>
    <w:rsid w:val="00AE57C8"/>
    <w:rsid w:val="00AE78B8"/>
    <w:rsid w:val="00AF236A"/>
    <w:rsid w:val="00AF3AE2"/>
    <w:rsid w:val="00AF40A4"/>
    <w:rsid w:val="00AF6521"/>
    <w:rsid w:val="00B02642"/>
    <w:rsid w:val="00B02E73"/>
    <w:rsid w:val="00B04A68"/>
    <w:rsid w:val="00B04FF5"/>
    <w:rsid w:val="00B1014E"/>
    <w:rsid w:val="00B1590A"/>
    <w:rsid w:val="00B16EA1"/>
    <w:rsid w:val="00B17BC7"/>
    <w:rsid w:val="00B203C0"/>
    <w:rsid w:val="00B21966"/>
    <w:rsid w:val="00B22C82"/>
    <w:rsid w:val="00B2690C"/>
    <w:rsid w:val="00B26D6B"/>
    <w:rsid w:val="00B30611"/>
    <w:rsid w:val="00B34C3A"/>
    <w:rsid w:val="00B375C3"/>
    <w:rsid w:val="00B424A2"/>
    <w:rsid w:val="00B43006"/>
    <w:rsid w:val="00B44243"/>
    <w:rsid w:val="00B45040"/>
    <w:rsid w:val="00B455A2"/>
    <w:rsid w:val="00B45E8A"/>
    <w:rsid w:val="00B503ED"/>
    <w:rsid w:val="00B5262D"/>
    <w:rsid w:val="00B53FBF"/>
    <w:rsid w:val="00B5591B"/>
    <w:rsid w:val="00B617B4"/>
    <w:rsid w:val="00B619F7"/>
    <w:rsid w:val="00B61B9A"/>
    <w:rsid w:val="00B6672C"/>
    <w:rsid w:val="00B669C4"/>
    <w:rsid w:val="00B67012"/>
    <w:rsid w:val="00B67859"/>
    <w:rsid w:val="00B7034F"/>
    <w:rsid w:val="00B7193E"/>
    <w:rsid w:val="00B723A2"/>
    <w:rsid w:val="00B74E36"/>
    <w:rsid w:val="00B75B20"/>
    <w:rsid w:val="00B82C1F"/>
    <w:rsid w:val="00B82EF3"/>
    <w:rsid w:val="00B857C9"/>
    <w:rsid w:val="00B92FAA"/>
    <w:rsid w:val="00B933DF"/>
    <w:rsid w:val="00B944A1"/>
    <w:rsid w:val="00B9457E"/>
    <w:rsid w:val="00B96C21"/>
    <w:rsid w:val="00BA0B4A"/>
    <w:rsid w:val="00BA18A2"/>
    <w:rsid w:val="00BA1A0F"/>
    <w:rsid w:val="00BA2859"/>
    <w:rsid w:val="00BA4971"/>
    <w:rsid w:val="00BB4B39"/>
    <w:rsid w:val="00BB4DFD"/>
    <w:rsid w:val="00BC194C"/>
    <w:rsid w:val="00BC3A89"/>
    <w:rsid w:val="00BC5023"/>
    <w:rsid w:val="00BC6F28"/>
    <w:rsid w:val="00BD5E0E"/>
    <w:rsid w:val="00BD61D6"/>
    <w:rsid w:val="00BD62B5"/>
    <w:rsid w:val="00BD7E56"/>
    <w:rsid w:val="00BD7FFE"/>
    <w:rsid w:val="00BE0F66"/>
    <w:rsid w:val="00BE2D8A"/>
    <w:rsid w:val="00BE427C"/>
    <w:rsid w:val="00BE49DC"/>
    <w:rsid w:val="00BF001D"/>
    <w:rsid w:val="00BF4931"/>
    <w:rsid w:val="00BF613B"/>
    <w:rsid w:val="00BF61A9"/>
    <w:rsid w:val="00BF7F9A"/>
    <w:rsid w:val="00C02C51"/>
    <w:rsid w:val="00C03A60"/>
    <w:rsid w:val="00C047F7"/>
    <w:rsid w:val="00C04B28"/>
    <w:rsid w:val="00C07DEA"/>
    <w:rsid w:val="00C1121B"/>
    <w:rsid w:val="00C15D97"/>
    <w:rsid w:val="00C17891"/>
    <w:rsid w:val="00C23172"/>
    <w:rsid w:val="00C23B6F"/>
    <w:rsid w:val="00C275DC"/>
    <w:rsid w:val="00C348BC"/>
    <w:rsid w:val="00C36774"/>
    <w:rsid w:val="00C36C82"/>
    <w:rsid w:val="00C37557"/>
    <w:rsid w:val="00C41337"/>
    <w:rsid w:val="00C43234"/>
    <w:rsid w:val="00C43A28"/>
    <w:rsid w:val="00C43E3C"/>
    <w:rsid w:val="00C4565F"/>
    <w:rsid w:val="00C45FA9"/>
    <w:rsid w:val="00C47C3A"/>
    <w:rsid w:val="00C61212"/>
    <w:rsid w:val="00C6182B"/>
    <w:rsid w:val="00C61F78"/>
    <w:rsid w:val="00C62542"/>
    <w:rsid w:val="00C634D4"/>
    <w:rsid w:val="00C63542"/>
    <w:rsid w:val="00C638BF"/>
    <w:rsid w:val="00C63D58"/>
    <w:rsid w:val="00C645DF"/>
    <w:rsid w:val="00C649FA"/>
    <w:rsid w:val="00C65981"/>
    <w:rsid w:val="00C673A6"/>
    <w:rsid w:val="00C70471"/>
    <w:rsid w:val="00C71C85"/>
    <w:rsid w:val="00C71FA1"/>
    <w:rsid w:val="00C74522"/>
    <w:rsid w:val="00C758FA"/>
    <w:rsid w:val="00C75AAA"/>
    <w:rsid w:val="00C825C5"/>
    <w:rsid w:val="00C85EC7"/>
    <w:rsid w:val="00C929F4"/>
    <w:rsid w:val="00C939A0"/>
    <w:rsid w:val="00C94BDF"/>
    <w:rsid w:val="00CA0A86"/>
    <w:rsid w:val="00CA31C5"/>
    <w:rsid w:val="00CA3FEE"/>
    <w:rsid w:val="00CB038A"/>
    <w:rsid w:val="00CB1893"/>
    <w:rsid w:val="00CB1B06"/>
    <w:rsid w:val="00CB2964"/>
    <w:rsid w:val="00CB605C"/>
    <w:rsid w:val="00CB64B5"/>
    <w:rsid w:val="00CC5D3A"/>
    <w:rsid w:val="00CD04A2"/>
    <w:rsid w:val="00CD19C3"/>
    <w:rsid w:val="00CD2495"/>
    <w:rsid w:val="00CD36EF"/>
    <w:rsid w:val="00CE031F"/>
    <w:rsid w:val="00CE26AE"/>
    <w:rsid w:val="00CE27A8"/>
    <w:rsid w:val="00CE5232"/>
    <w:rsid w:val="00CE5CF4"/>
    <w:rsid w:val="00CE63BE"/>
    <w:rsid w:val="00CE6D76"/>
    <w:rsid w:val="00CF4A89"/>
    <w:rsid w:val="00D00E23"/>
    <w:rsid w:val="00D01220"/>
    <w:rsid w:val="00D01EE7"/>
    <w:rsid w:val="00D02308"/>
    <w:rsid w:val="00D0314A"/>
    <w:rsid w:val="00D03183"/>
    <w:rsid w:val="00D033BA"/>
    <w:rsid w:val="00D04BDE"/>
    <w:rsid w:val="00D04E83"/>
    <w:rsid w:val="00D054BC"/>
    <w:rsid w:val="00D0599B"/>
    <w:rsid w:val="00D1007D"/>
    <w:rsid w:val="00D155BF"/>
    <w:rsid w:val="00D17993"/>
    <w:rsid w:val="00D22C1B"/>
    <w:rsid w:val="00D23E78"/>
    <w:rsid w:val="00D24AEE"/>
    <w:rsid w:val="00D27A5F"/>
    <w:rsid w:val="00D317F7"/>
    <w:rsid w:val="00D31ECD"/>
    <w:rsid w:val="00D37F5D"/>
    <w:rsid w:val="00D460EC"/>
    <w:rsid w:val="00D50CB4"/>
    <w:rsid w:val="00D54531"/>
    <w:rsid w:val="00D551D5"/>
    <w:rsid w:val="00D57EA9"/>
    <w:rsid w:val="00D608AC"/>
    <w:rsid w:val="00D60BFD"/>
    <w:rsid w:val="00D619F2"/>
    <w:rsid w:val="00D62CAC"/>
    <w:rsid w:val="00D6500D"/>
    <w:rsid w:val="00D657B4"/>
    <w:rsid w:val="00D65836"/>
    <w:rsid w:val="00D6588A"/>
    <w:rsid w:val="00D708AA"/>
    <w:rsid w:val="00D70C05"/>
    <w:rsid w:val="00D70DCF"/>
    <w:rsid w:val="00D71219"/>
    <w:rsid w:val="00D71496"/>
    <w:rsid w:val="00D71DBA"/>
    <w:rsid w:val="00D72DF3"/>
    <w:rsid w:val="00D76622"/>
    <w:rsid w:val="00D76F51"/>
    <w:rsid w:val="00D77E47"/>
    <w:rsid w:val="00D817F9"/>
    <w:rsid w:val="00D820CF"/>
    <w:rsid w:val="00D83DF8"/>
    <w:rsid w:val="00D861E0"/>
    <w:rsid w:val="00DA248D"/>
    <w:rsid w:val="00DA316E"/>
    <w:rsid w:val="00DA3275"/>
    <w:rsid w:val="00DA34DE"/>
    <w:rsid w:val="00DA5AD2"/>
    <w:rsid w:val="00DA62D9"/>
    <w:rsid w:val="00DA68CB"/>
    <w:rsid w:val="00DB063E"/>
    <w:rsid w:val="00DB3443"/>
    <w:rsid w:val="00DB4842"/>
    <w:rsid w:val="00DB49B6"/>
    <w:rsid w:val="00DC02CD"/>
    <w:rsid w:val="00DC14F7"/>
    <w:rsid w:val="00DC2FEA"/>
    <w:rsid w:val="00DC33C3"/>
    <w:rsid w:val="00DC48DE"/>
    <w:rsid w:val="00DC57CA"/>
    <w:rsid w:val="00DD0BE8"/>
    <w:rsid w:val="00DD3EC0"/>
    <w:rsid w:val="00DD46E4"/>
    <w:rsid w:val="00DD5024"/>
    <w:rsid w:val="00DD697C"/>
    <w:rsid w:val="00DD799D"/>
    <w:rsid w:val="00DD7F8E"/>
    <w:rsid w:val="00DE29D1"/>
    <w:rsid w:val="00DE2EEA"/>
    <w:rsid w:val="00DE3F82"/>
    <w:rsid w:val="00DE4401"/>
    <w:rsid w:val="00DE5A70"/>
    <w:rsid w:val="00DE6705"/>
    <w:rsid w:val="00DE6B6E"/>
    <w:rsid w:val="00DE7F68"/>
    <w:rsid w:val="00DF0582"/>
    <w:rsid w:val="00DF211F"/>
    <w:rsid w:val="00DF37F5"/>
    <w:rsid w:val="00DF4B24"/>
    <w:rsid w:val="00DF4CFC"/>
    <w:rsid w:val="00DF53FB"/>
    <w:rsid w:val="00DF5B72"/>
    <w:rsid w:val="00E015FD"/>
    <w:rsid w:val="00E06E7F"/>
    <w:rsid w:val="00E11C67"/>
    <w:rsid w:val="00E1283C"/>
    <w:rsid w:val="00E131D6"/>
    <w:rsid w:val="00E13E19"/>
    <w:rsid w:val="00E14EEA"/>
    <w:rsid w:val="00E15901"/>
    <w:rsid w:val="00E17131"/>
    <w:rsid w:val="00E172D7"/>
    <w:rsid w:val="00E21512"/>
    <w:rsid w:val="00E229EA"/>
    <w:rsid w:val="00E2336E"/>
    <w:rsid w:val="00E30A40"/>
    <w:rsid w:val="00E30A5F"/>
    <w:rsid w:val="00E31419"/>
    <w:rsid w:val="00E33932"/>
    <w:rsid w:val="00E33BC7"/>
    <w:rsid w:val="00E3551F"/>
    <w:rsid w:val="00E35E9E"/>
    <w:rsid w:val="00E36C45"/>
    <w:rsid w:val="00E373D7"/>
    <w:rsid w:val="00E407FB"/>
    <w:rsid w:val="00E415E1"/>
    <w:rsid w:val="00E421FA"/>
    <w:rsid w:val="00E425BC"/>
    <w:rsid w:val="00E448E3"/>
    <w:rsid w:val="00E44BF5"/>
    <w:rsid w:val="00E45036"/>
    <w:rsid w:val="00E4619D"/>
    <w:rsid w:val="00E46EBB"/>
    <w:rsid w:val="00E472B1"/>
    <w:rsid w:val="00E5086B"/>
    <w:rsid w:val="00E5191D"/>
    <w:rsid w:val="00E53DEF"/>
    <w:rsid w:val="00E54F7D"/>
    <w:rsid w:val="00E564C4"/>
    <w:rsid w:val="00E601C8"/>
    <w:rsid w:val="00E603CE"/>
    <w:rsid w:val="00E61BE5"/>
    <w:rsid w:val="00E61ECE"/>
    <w:rsid w:val="00E62795"/>
    <w:rsid w:val="00E648D8"/>
    <w:rsid w:val="00E6564D"/>
    <w:rsid w:val="00E67474"/>
    <w:rsid w:val="00E701CB"/>
    <w:rsid w:val="00E729F6"/>
    <w:rsid w:val="00E72D5B"/>
    <w:rsid w:val="00E73D35"/>
    <w:rsid w:val="00E81EF7"/>
    <w:rsid w:val="00E82623"/>
    <w:rsid w:val="00E8698E"/>
    <w:rsid w:val="00E91C63"/>
    <w:rsid w:val="00E93B50"/>
    <w:rsid w:val="00E93FE9"/>
    <w:rsid w:val="00E96A9D"/>
    <w:rsid w:val="00EA346E"/>
    <w:rsid w:val="00EA786A"/>
    <w:rsid w:val="00EA7CC9"/>
    <w:rsid w:val="00EB03C0"/>
    <w:rsid w:val="00EB0BE2"/>
    <w:rsid w:val="00EB41E6"/>
    <w:rsid w:val="00EB4929"/>
    <w:rsid w:val="00EB4AEA"/>
    <w:rsid w:val="00EC03A3"/>
    <w:rsid w:val="00EC15E1"/>
    <w:rsid w:val="00EC2208"/>
    <w:rsid w:val="00EC349B"/>
    <w:rsid w:val="00EC59FF"/>
    <w:rsid w:val="00EC7073"/>
    <w:rsid w:val="00ED0F8E"/>
    <w:rsid w:val="00ED1D27"/>
    <w:rsid w:val="00ED2224"/>
    <w:rsid w:val="00ED51D8"/>
    <w:rsid w:val="00ED5E0F"/>
    <w:rsid w:val="00ED7EFD"/>
    <w:rsid w:val="00EE0A41"/>
    <w:rsid w:val="00EE328E"/>
    <w:rsid w:val="00EE4523"/>
    <w:rsid w:val="00EE4622"/>
    <w:rsid w:val="00EE7806"/>
    <w:rsid w:val="00EF039E"/>
    <w:rsid w:val="00EF2428"/>
    <w:rsid w:val="00EF2579"/>
    <w:rsid w:val="00EF5C10"/>
    <w:rsid w:val="00EF618F"/>
    <w:rsid w:val="00EF62F2"/>
    <w:rsid w:val="00EF6548"/>
    <w:rsid w:val="00F00E32"/>
    <w:rsid w:val="00F02759"/>
    <w:rsid w:val="00F05FD0"/>
    <w:rsid w:val="00F064DF"/>
    <w:rsid w:val="00F06A93"/>
    <w:rsid w:val="00F11190"/>
    <w:rsid w:val="00F16AAD"/>
    <w:rsid w:val="00F17202"/>
    <w:rsid w:val="00F2238F"/>
    <w:rsid w:val="00F22F0F"/>
    <w:rsid w:val="00F259FD"/>
    <w:rsid w:val="00F25B0F"/>
    <w:rsid w:val="00F27F32"/>
    <w:rsid w:val="00F3042A"/>
    <w:rsid w:val="00F30B6B"/>
    <w:rsid w:val="00F31F7C"/>
    <w:rsid w:val="00F325FC"/>
    <w:rsid w:val="00F35700"/>
    <w:rsid w:val="00F43E6D"/>
    <w:rsid w:val="00F466B9"/>
    <w:rsid w:val="00F5130D"/>
    <w:rsid w:val="00F55042"/>
    <w:rsid w:val="00F55D2F"/>
    <w:rsid w:val="00F61082"/>
    <w:rsid w:val="00F666E5"/>
    <w:rsid w:val="00F66A49"/>
    <w:rsid w:val="00F70E8D"/>
    <w:rsid w:val="00F71726"/>
    <w:rsid w:val="00F727BD"/>
    <w:rsid w:val="00F72B44"/>
    <w:rsid w:val="00F74C22"/>
    <w:rsid w:val="00F75A06"/>
    <w:rsid w:val="00F8079B"/>
    <w:rsid w:val="00F868C7"/>
    <w:rsid w:val="00F86BB9"/>
    <w:rsid w:val="00F86C7E"/>
    <w:rsid w:val="00F86EEB"/>
    <w:rsid w:val="00F8788F"/>
    <w:rsid w:val="00F90263"/>
    <w:rsid w:val="00F90DF0"/>
    <w:rsid w:val="00F92F21"/>
    <w:rsid w:val="00F93E2F"/>
    <w:rsid w:val="00FA2172"/>
    <w:rsid w:val="00FA5A10"/>
    <w:rsid w:val="00FB0057"/>
    <w:rsid w:val="00FB15F6"/>
    <w:rsid w:val="00FB284E"/>
    <w:rsid w:val="00FB2958"/>
    <w:rsid w:val="00FB3986"/>
    <w:rsid w:val="00FB4732"/>
    <w:rsid w:val="00FB507F"/>
    <w:rsid w:val="00FB5E1E"/>
    <w:rsid w:val="00FB786A"/>
    <w:rsid w:val="00FC0A96"/>
    <w:rsid w:val="00FC0BC3"/>
    <w:rsid w:val="00FC28B9"/>
    <w:rsid w:val="00FD205C"/>
    <w:rsid w:val="00FD2B0A"/>
    <w:rsid w:val="00FD30E5"/>
    <w:rsid w:val="00FD396B"/>
    <w:rsid w:val="00FD6D11"/>
    <w:rsid w:val="00FE148C"/>
    <w:rsid w:val="00FE1AC9"/>
    <w:rsid w:val="00FE28E3"/>
    <w:rsid w:val="00FE35C4"/>
    <w:rsid w:val="00FE5683"/>
    <w:rsid w:val="00FE7285"/>
    <w:rsid w:val="00FF573C"/>
    <w:rsid w:val="00FF6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A96C4"/>
  <w15:docId w15:val="{352367EC-56DF-487C-AAEE-A8BD126AC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375FB"/>
    <w:pPr>
      <w:keepNext/>
      <w:keepLines/>
      <w:spacing w:before="240" w:after="240" w:line="24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375FB"/>
    <w:pPr>
      <w:keepNext/>
      <w:keepLines/>
      <w:spacing w:before="240" w:after="240"/>
      <w:outlineLvl w:val="1"/>
    </w:pPr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3325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4054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8D6B58"/>
    <w:rPr>
      <w:color w:val="FF0000" w:themeColor="hyperlink"/>
      <w:u w:val="single"/>
    </w:rPr>
  </w:style>
  <w:style w:type="paragraph" w:customStyle="1" w:styleId="conteudo2nivel">
    <w:name w:val="conteudo2nivel"/>
    <w:basedOn w:val="Normal"/>
    <w:rsid w:val="005C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5C165B"/>
  </w:style>
  <w:style w:type="paragraph" w:styleId="Cabealho">
    <w:name w:val="header"/>
    <w:basedOn w:val="Normal"/>
    <w:link w:val="Cabealho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0018E"/>
  </w:style>
  <w:style w:type="paragraph" w:styleId="Rodap">
    <w:name w:val="footer"/>
    <w:basedOn w:val="Normal"/>
    <w:link w:val="RodapChar"/>
    <w:uiPriority w:val="99"/>
    <w:unhideWhenUsed/>
    <w:rsid w:val="008001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0018E"/>
  </w:style>
  <w:style w:type="character" w:customStyle="1" w:styleId="Ttulo1Char">
    <w:name w:val="Título 1 Char"/>
    <w:basedOn w:val="Fontepargpadro"/>
    <w:link w:val="Ttulo1"/>
    <w:uiPriority w:val="9"/>
    <w:rsid w:val="001375FB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Remissivo2">
    <w:name w:val="index 2"/>
    <w:basedOn w:val="Normal"/>
    <w:next w:val="Normal"/>
    <w:autoRedefine/>
    <w:uiPriority w:val="99"/>
    <w:unhideWhenUsed/>
    <w:rsid w:val="001F2339"/>
    <w:pPr>
      <w:spacing w:after="0"/>
      <w:ind w:left="440" w:hanging="220"/>
    </w:pPr>
    <w:rPr>
      <w:sz w:val="20"/>
      <w:szCs w:val="20"/>
    </w:rPr>
  </w:style>
  <w:style w:type="paragraph" w:styleId="Remissivo1">
    <w:name w:val="index 1"/>
    <w:basedOn w:val="Normal"/>
    <w:next w:val="Normal"/>
    <w:autoRedefine/>
    <w:uiPriority w:val="99"/>
    <w:unhideWhenUsed/>
    <w:rsid w:val="001F2339"/>
    <w:pPr>
      <w:spacing w:after="0"/>
      <w:ind w:left="220" w:hanging="220"/>
    </w:pPr>
    <w:rPr>
      <w:sz w:val="20"/>
      <w:szCs w:val="20"/>
    </w:rPr>
  </w:style>
  <w:style w:type="paragraph" w:styleId="Remissivo3">
    <w:name w:val="index 3"/>
    <w:basedOn w:val="Normal"/>
    <w:next w:val="Normal"/>
    <w:autoRedefine/>
    <w:uiPriority w:val="99"/>
    <w:unhideWhenUsed/>
    <w:rsid w:val="001F2339"/>
    <w:pPr>
      <w:spacing w:after="0"/>
      <w:ind w:left="660" w:hanging="220"/>
    </w:pPr>
    <w:rPr>
      <w:sz w:val="20"/>
      <w:szCs w:val="20"/>
    </w:rPr>
  </w:style>
  <w:style w:type="paragraph" w:styleId="Remissivo4">
    <w:name w:val="index 4"/>
    <w:basedOn w:val="Normal"/>
    <w:next w:val="Normal"/>
    <w:autoRedefine/>
    <w:uiPriority w:val="99"/>
    <w:unhideWhenUsed/>
    <w:rsid w:val="001F2339"/>
    <w:pPr>
      <w:spacing w:after="0"/>
      <w:ind w:left="880" w:hanging="220"/>
    </w:pPr>
    <w:rPr>
      <w:sz w:val="20"/>
      <w:szCs w:val="20"/>
    </w:rPr>
  </w:style>
  <w:style w:type="paragraph" w:styleId="Remissivo5">
    <w:name w:val="index 5"/>
    <w:basedOn w:val="Normal"/>
    <w:next w:val="Normal"/>
    <w:autoRedefine/>
    <w:uiPriority w:val="99"/>
    <w:unhideWhenUsed/>
    <w:rsid w:val="001F2339"/>
    <w:pPr>
      <w:spacing w:after="0"/>
      <w:ind w:left="1100" w:hanging="220"/>
    </w:pPr>
    <w:rPr>
      <w:sz w:val="20"/>
      <w:szCs w:val="20"/>
    </w:rPr>
  </w:style>
  <w:style w:type="paragraph" w:styleId="Remissivo6">
    <w:name w:val="index 6"/>
    <w:basedOn w:val="Normal"/>
    <w:next w:val="Normal"/>
    <w:autoRedefine/>
    <w:uiPriority w:val="99"/>
    <w:unhideWhenUsed/>
    <w:rsid w:val="001F2339"/>
    <w:pPr>
      <w:spacing w:after="0"/>
      <w:ind w:left="1320" w:hanging="220"/>
    </w:pPr>
    <w:rPr>
      <w:sz w:val="20"/>
      <w:szCs w:val="20"/>
    </w:rPr>
  </w:style>
  <w:style w:type="paragraph" w:styleId="Remissivo7">
    <w:name w:val="index 7"/>
    <w:basedOn w:val="Normal"/>
    <w:next w:val="Normal"/>
    <w:autoRedefine/>
    <w:uiPriority w:val="99"/>
    <w:unhideWhenUsed/>
    <w:rsid w:val="001F2339"/>
    <w:pPr>
      <w:spacing w:after="0"/>
      <w:ind w:left="1540" w:hanging="220"/>
    </w:pPr>
    <w:rPr>
      <w:sz w:val="20"/>
      <w:szCs w:val="20"/>
    </w:rPr>
  </w:style>
  <w:style w:type="paragraph" w:styleId="Remissivo8">
    <w:name w:val="index 8"/>
    <w:basedOn w:val="Normal"/>
    <w:next w:val="Normal"/>
    <w:autoRedefine/>
    <w:uiPriority w:val="99"/>
    <w:unhideWhenUsed/>
    <w:rsid w:val="001F2339"/>
    <w:pPr>
      <w:spacing w:after="0"/>
      <w:ind w:left="1760" w:hanging="220"/>
    </w:pPr>
    <w:rPr>
      <w:sz w:val="20"/>
      <w:szCs w:val="20"/>
    </w:rPr>
  </w:style>
  <w:style w:type="paragraph" w:styleId="Remissivo9">
    <w:name w:val="index 9"/>
    <w:basedOn w:val="Normal"/>
    <w:next w:val="Normal"/>
    <w:autoRedefine/>
    <w:uiPriority w:val="99"/>
    <w:unhideWhenUsed/>
    <w:rsid w:val="001F2339"/>
    <w:pPr>
      <w:spacing w:after="0"/>
      <w:ind w:left="1980" w:hanging="220"/>
    </w:pPr>
    <w:rPr>
      <w:sz w:val="20"/>
      <w:szCs w:val="20"/>
    </w:rPr>
  </w:style>
  <w:style w:type="paragraph" w:styleId="Ttulodendiceremissivo">
    <w:name w:val="index heading"/>
    <w:basedOn w:val="Normal"/>
    <w:next w:val="Remissivo1"/>
    <w:uiPriority w:val="99"/>
    <w:unhideWhenUsed/>
    <w:rsid w:val="001F2339"/>
    <w:pPr>
      <w:spacing w:before="120" w:after="120"/>
    </w:pPr>
    <w:rPr>
      <w:b/>
      <w:bCs/>
      <w:i/>
      <w:iCs/>
      <w:sz w:val="20"/>
      <w:szCs w:val="20"/>
    </w:rPr>
  </w:style>
  <w:style w:type="paragraph" w:styleId="CabealhodoSumrio">
    <w:name w:val="TOC Heading"/>
    <w:basedOn w:val="Ttulo1"/>
    <w:next w:val="Normal"/>
    <w:uiPriority w:val="39"/>
    <w:unhideWhenUsed/>
    <w:qFormat/>
    <w:rsid w:val="001F2339"/>
    <w:pPr>
      <w:spacing w:line="259" w:lineRule="auto"/>
      <w:outlineLvl w:val="9"/>
    </w:pPr>
    <w:rPr>
      <w:rFonts w:asciiTheme="majorHAnsi" w:hAnsiTheme="majorHAnsi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3E09B5"/>
    <w:pPr>
      <w:tabs>
        <w:tab w:val="left" w:pos="440"/>
        <w:tab w:val="right" w:leader="dot" w:pos="9344"/>
      </w:tabs>
      <w:spacing w:after="100"/>
    </w:pPr>
    <w:rPr>
      <w:b/>
      <w:noProof/>
    </w:rPr>
  </w:style>
  <w:style w:type="character" w:styleId="Refdecomentrio">
    <w:name w:val="annotation reference"/>
    <w:basedOn w:val="Fontepargpadro"/>
    <w:uiPriority w:val="99"/>
    <w:semiHidden/>
    <w:unhideWhenUsed/>
    <w:rsid w:val="00B61B9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61B9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61B9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61B9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61B9A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61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61B9A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1375FB"/>
    <w:rPr>
      <w:rFonts w:ascii="Calibri Light" w:eastAsiaTheme="majorEastAsia" w:hAnsi="Calibri Light" w:cstheme="majorBidi"/>
      <w:b/>
      <w:color w:val="0066B2" w:themeColor="accent1"/>
      <w:sz w:val="28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0C6ABB"/>
    <w:pPr>
      <w:spacing w:after="100"/>
      <w:ind w:left="2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C03A60"/>
    <w:pPr>
      <w:spacing w:after="100"/>
      <w:ind w:left="880"/>
    </w:pPr>
  </w:style>
  <w:style w:type="paragraph" w:styleId="Reviso">
    <w:name w:val="Revision"/>
    <w:hidden/>
    <w:uiPriority w:val="99"/>
    <w:semiHidden/>
    <w:rsid w:val="00D76622"/>
    <w:pPr>
      <w:spacing w:after="0"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2C66C0"/>
    <w:rPr>
      <w:color w:val="00B05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71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2344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ptxtp">
    <w:name w:val="op_txt_p"/>
    <w:basedOn w:val="Normal"/>
    <w:rsid w:val="00B17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rsid w:val="00437BCE"/>
    <w:pPr>
      <w:widowControl w:val="0"/>
      <w:spacing w:after="0" w:line="240" w:lineRule="auto"/>
      <w:ind w:left="1010"/>
    </w:pPr>
    <w:rPr>
      <w:rFonts w:ascii="Verdana" w:eastAsia="Verdana" w:hAnsi="Verdana"/>
      <w:sz w:val="24"/>
      <w:szCs w:val="24"/>
      <w:lang w:val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37BCE"/>
    <w:rPr>
      <w:rFonts w:ascii="Verdana" w:eastAsia="Verdana" w:hAnsi="Verdana"/>
      <w:sz w:val="24"/>
      <w:szCs w:val="24"/>
      <w:lang w:val="en-US"/>
    </w:rPr>
  </w:style>
  <w:style w:type="character" w:styleId="Forte">
    <w:name w:val="Strong"/>
    <w:basedOn w:val="Fontepargpadro"/>
    <w:uiPriority w:val="22"/>
    <w:qFormat/>
    <w:rsid w:val="00E06E7F"/>
    <w:rPr>
      <w:b/>
      <w:bCs/>
    </w:rPr>
  </w:style>
  <w:style w:type="paragraph" w:customStyle="1" w:styleId="Default">
    <w:name w:val="Default"/>
    <w:rsid w:val="004C4B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TEXTO-SIMPLES">
    <w:name w:val="TEXTO-SIMPLES"/>
    <w:basedOn w:val="Normal"/>
    <w:link w:val="TEXTO-SIMPLESChar"/>
    <w:qFormat/>
    <w:rsid w:val="008F30F8"/>
    <w:pPr>
      <w:spacing w:after="0" w:line="360" w:lineRule="auto"/>
      <w:ind w:firstLine="567"/>
      <w:jc w:val="both"/>
    </w:pPr>
    <w:rPr>
      <w:rFonts w:ascii="Arial" w:hAnsi="Arial" w:cs="Arial"/>
    </w:rPr>
  </w:style>
  <w:style w:type="character" w:customStyle="1" w:styleId="TEXTO-SIMPLESChar">
    <w:name w:val="TEXTO-SIMPLES Char"/>
    <w:basedOn w:val="Fontepargpadro"/>
    <w:link w:val="TEXTO-SIMPLES"/>
    <w:rsid w:val="008F30F8"/>
    <w:rPr>
      <w:rFonts w:ascii="Arial" w:hAnsi="Arial" w:cs="Arial"/>
    </w:rPr>
  </w:style>
  <w:style w:type="paragraph" w:customStyle="1" w:styleId="TTULO">
    <w:name w:val="TÍTULO"/>
    <w:basedOn w:val="Normal"/>
    <w:link w:val="TTULOChar"/>
    <w:qFormat/>
    <w:rsid w:val="008F30F8"/>
    <w:pPr>
      <w:keepNext/>
      <w:spacing w:before="240" w:after="120" w:line="360" w:lineRule="auto"/>
      <w:jc w:val="both"/>
    </w:pPr>
    <w:rPr>
      <w:rFonts w:ascii="Arial" w:hAnsi="Arial" w:cs="Arial"/>
      <w:b/>
      <w:sz w:val="24"/>
    </w:rPr>
  </w:style>
  <w:style w:type="paragraph" w:customStyle="1" w:styleId="SUB-TTULO1">
    <w:name w:val="SUB-TÍTULO_1"/>
    <w:basedOn w:val="PargrafodaLista"/>
    <w:link w:val="SUB-TTULO1Char"/>
    <w:qFormat/>
    <w:rsid w:val="008F30F8"/>
    <w:pPr>
      <w:keepNext/>
      <w:numPr>
        <w:numId w:val="1"/>
      </w:numPr>
      <w:spacing w:before="240" w:after="120" w:line="360" w:lineRule="auto"/>
      <w:contextualSpacing w:val="0"/>
      <w:jc w:val="both"/>
    </w:pPr>
    <w:rPr>
      <w:rFonts w:ascii="Arial" w:hAnsi="Arial" w:cs="Arial"/>
      <w:b/>
      <w:sz w:val="24"/>
    </w:rPr>
  </w:style>
  <w:style w:type="character" w:customStyle="1" w:styleId="TTULOChar">
    <w:name w:val="TÍTULO Char"/>
    <w:basedOn w:val="Fontepargpadro"/>
    <w:link w:val="TTULO"/>
    <w:rsid w:val="008F30F8"/>
    <w:rPr>
      <w:rFonts w:ascii="Arial" w:hAnsi="Arial" w:cs="Arial"/>
      <w:b/>
      <w:sz w:val="24"/>
    </w:rPr>
  </w:style>
  <w:style w:type="character" w:customStyle="1" w:styleId="SUB-TTULO1Char">
    <w:name w:val="SUB-TÍTULO_1 Char"/>
    <w:basedOn w:val="Fontepargpadro"/>
    <w:link w:val="SUB-TTULO1"/>
    <w:rsid w:val="008F30F8"/>
    <w:rPr>
      <w:rFonts w:ascii="Arial" w:hAnsi="Arial" w:cs="Arial"/>
      <w:b/>
      <w:sz w:val="24"/>
    </w:rPr>
  </w:style>
  <w:style w:type="paragraph" w:customStyle="1" w:styleId="SUB-TTULO2">
    <w:name w:val="SUB-TÍTULO_2"/>
    <w:basedOn w:val="SUB-TTULO1"/>
    <w:link w:val="SUB-TTULO2Char"/>
    <w:qFormat/>
    <w:rsid w:val="008F30F8"/>
    <w:pPr>
      <w:numPr>
        <w:ilvl w:val="1"/>
      </w:numPr>
    </w:pPr>
  </w:style>
  <w:style w:type="character" w:customStyle="1" w:styleId="SUB-TTULO2Char">
    <w:name w:val="SUB-TÍTULO_2 Char"/>
    <w:basedOn w:val="SUB-TTULO1Char"/>
    <w:link w:val="SUB-TTULO2"/>
    <w:rsid w:val="008F30F8"/>
    <w:rPr>
      <w:rFonts w:ascii="Arial" w:hAnsi="Arial" w:cs="Arial"/>
      <w:b/>
      <w:sz w:val="24"/>
    </w:rPr>
  </w:style>
  <w:style w:type="paragraph" w:customStyle="1" w:styleId="TABELA">
    <w:name w:val="TABELA"/>
    <w:basedOn w:val="PargrafodaLista"/>
    <w:link w:val="TABELAChar"/>
    <w:qFormat/>
    <w:rsid w:val="008F30F8"/>
    <w:pPr>
      <w:keepNext/>
      <w:numPr>
        <w:numId w:val="2"/>
      </w:numPr>
      <w:spacing w:before="240" w:after="120" w:line="240" w:lineRule="auto"/>
      <w:contextualSpacing w:val="0"/>
      <w:jc w:val="center"/>
    </w:pPr>
    <w:rPr>
      <w:rFonts w:ascii="Arial" w:hAnsi="Arial" w:cs="Arial"/>
    </w:rPr>
  </w:style>
  <w:style w:type="character" w:customStyle="1" w:styleId="TABELAChar">
    <w:name w:val="TABELA Char"/>
    <w:basedOn w:val="Fontepargpadro"/>
    <w:link w:val="TABELA"/>
    <w:rsid w:val="008F30F8"/>
    <w:rPr>
      <w:rFonts w:ascii="Arial" w:hAnsi="Arial" w:cs="Arial"/>
    </w:rPr>
  </w:style>
  <w:style w:type="paragraph" w:customStyle="1" w:styleId="EXERCCIOS">
    <w:name w:val="EXERCÍCIOS"/>
    <w:basedOn w:val="TEXTO-SIMPLES"/>
    <w:link w:val="EXERCCIOSChar"/>
    <w:qFormat/>
    <w:rsid w:val="008F30F8"/>
    <w:pPr>
      <w:numPr>
        <w:numId w:val="3"/>
      </w:numPr>
      <w:spacing w:before="120"/>
    </w:pPr>
  </w:style>
  <w:style w:type="character" w:customStyle="1" w:styleId="EXERCCIOSChar">
    <w:name w:val="EXERCÍCIOS Char"/>
    <w:basedOn w:val="TEXTO-SIMPLESChar"/>
    <w:link w:val="EXERCCIOS"/>
    <w:rsid w:val="008F30F8"/>
    <w:rPr>
      <w:rFonts w:ascii="Arial" w:hAnsi="Arial" w:cs="Arial"/>
    </w:rPr>
  </w:style>
  <w:style w:type="paragraph" w:customStyle="1" w:styleId="Box">
    <w:name w:val="Box"/>
    <w:qFormat/>
    <w:rsid w:val="008F30F8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shd w:val="pct10" w:color="auto" w:fill="auto"/>
      <w:kinsoku w:val="0"/>
      <w:overflowPunct w:val="0"/>
      <w:spacing w:before="120" w:after="120" w:line="240" w:lineRule="auto"/>
      <w:jc w:val="both"/>
      <w:textAlignment w:val="baseline"/>
    </w:pPr>
    <w:rPr>
      <w:rFonts w:eastAsia="Times New Roman"/>
      <w:color w:val="000000" w:themeColor="text1"/>
      <w:kern w:val="24"/>
      <w:lang w:eastAsia="pt-BR"/>
    </w:rPr>
  </w:style>
  <w:style w:type="table" w:styleId="SombreamentoClaro-nfase1">
    <w:name w:val="Light Shading Accent 1"/>
    <w:basedOn w:val="Tabelanormal"/>
    <w:uiPriority w:val="60"/>
    <w:rsid w:val="00E729F6"/>
    <w:pPr>
      <w:spacing w:after="0" w:line="240" w:lineRule="auto"/>
    </w:pPr>
    <w:rPr>
      <w:color w:val="004C85" w:themeColor="accent1" w:themeShade="BF"/>
    </w:rPr>
    <w:tblPr>
      <w:tblStyleRowBandSize w:val="1"/>
      <w:tblStyleColBandSize w:val="1"/>
      <w:tblBorders>
        <w:top w:val="single" w:sz="8" w:space="0" w:color="0066B2" w:themeColor="accent1"/>
        <w:bottom w:val="single" w:sz="8" w:space="0" w:color="0066B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B2" w:themeColor="accent1"/>
          <w:left w:val="nil"/>
          <w:bottom w:val="single" w:sz="8" w:space="0" w:color="0066B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BFF" w:themeFill="accent1" w:themeFillTint="3F"/>
      </w:tcPr>
    </w:tblStylePr>
  </w:style>
  <w:style w:type="table" w:styleId="GradeClara-nfase5">
    <w:name w:val="Light Grid Accent 5"/>
    <w:basedOn w:val="Tabelanormal"/>
    <w:uiPriority w:val="62"/>
    <w:rsid w:val="00E729F6"/>
    <w:pPr>
      <w:spacing w:after="0" w:line="240" w:lineRule="auto"/>
    </w:pPr>
    <w:tblPr>
      <w:tblStyleRowBandSize w:val="1"/>
      <w:tblStyleColBandSize w:val="1"/>
      <w:tblBorders>
        <w:top w:val="single" w:sz="8" w:space="0" w:color="9CC3E5" w:themeColor="accent5"/>
        <w:left w:val="single" w:sz="8" w:space="0" w:color="9CC3E5" w:themeColor="accent5"/>
        <w:bottom w:val="single" w:sz="8" w:space="0" w:color="9CC3E5" w:themeColor="accent5"/>
        <w:right w:val="single" w:sz="8" w:space="0" w:color="9CC3E5" w:themeColor="accent5"/>
        <w:insideH w:val="single" w:sz="8" w:space="0" w:color="9CC3E5" w:themeColor="accent5"/>
        <w:insideV w:val="single" w:sz="8" w:space="0" w:color="9CC3E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1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H w:val="nil"/>
          <w:insideV w:val="single" w:sz="8" w:space="0" w:color="9CC3E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</w:tcPr>
    </w:tblStylePr>
    <w:tblStylePr w:type="band1Vert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</w:tcBorders>
        <w:shd w:val="clear" w:color="auto" w:fill="E6F0F8" w:themeFill="accent5" w:themeFillTint="3F"/>
      </w:tcPr>
    </w:tblStylePr>
    <w:tblStylePr w:type="band1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  <w:shd w:val="clear" w:color="auto" w:fill="E6F0F8" w:themeFill="accent5" w:themeFillTint="3F"/>
      </w:tcPr>
    </w:tblStylePr>
    <w:tblStylePr w:type="band2Horz">
      <w:tblPr/>
      <w:tcPr>
        <w:tcBorders>
          <w:top w:val="single" w:sz="8" w:space="0" w:color="9CC3E5" w:themeColor="accent5"/>
          <w:left w:val="single" w:sz="8" w:space="0" w:color="9CC3E5" w:themeColor="accent5"/>
          <w:bottom w:val="single" w:sz="8" w:space="0" w:color="9CC3E5" w:themeColor="accent5"/>
          <w:right w:val="single" w:sz="8" w:space="0" w:color="9CC3E5" w:themeColor="accent5"/>
          <w:insideV w:val="single" w:sz="8" w:space="0" w:color="9CC3E5" w:themeColor="accent5"/>
        </w:tcBorders>
      </w:tcPr>
    </w:tblStylePr>
  </w:style>
  <w:style w:type="paragraph" w:customStyle="1" w:styleId="yiv9966333950xm-5859502985012558948msolistparagraph">
    <w:name w:val="yiv9966333950x_m_-5859502985012558948msolistparagraph"/>
    <w:basedOn w:val="Normal"/>
    <w:rsid w:val="001857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SombreamentoMdio2-nfase5">
    <w:name w:val="Medium Shading 2 Accent 5"/>
    <w:basedOn w:val="Tabelanormal"/>
    <w:uiPriority w:val="64"/>
    <w:rsid w:val="001857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C3E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C3E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Ttulo4Char">
    <w:name w:val="Título 4 Char"/>
    <w:basedOn w:val="Fontepargpadro"/>
    <w:link w:val="Ttulo4"/>
    <w:uiPriority w:val="9"/>
    <w:semiHidden/>
    <w:rsid w:val="00333251"/>
    <w:rPr>
      <w:rFonts w:asciiTheme="majorHAnsi" w:eastAsiaTheme="majorEastAsia" w:hAnsiTheme="majorHAnsi" w:cstheme="majorBidi"/>
      <w:i/>
      <w:iCs/>
      <w:color w:val="004C85" w:themeColor="accent1" w:themeShade="BF"/>
    </w:rPr>
  </w:style>
  <w:style w:type="table" w:styleId="SombreamentoMdio1-nfase5">
    <w:name w:val="Medium Shading 1 Accent 5"/>
    <w:basedOn w:val="Tabelanormal"/>
    <w:uiPriority w:val="63"/>
    <w:rsid w:val="003E0DC5"/>
    <w:pPr>
      <w:spacing w:after="0" w:line="240" w:lineRule="auto"/>
    </w:pPr>
    <w:tblPr>
      <w:tblStyleRowBandSize w:val="1"/>
      <w:tblStyleColBandSize w:val="1"/>
      <w:tblBorders>
        <w:top w:val="single" w:sz="8" w:space="0" w:color="B4D2EB" w:themeColor="accent5" w:themeTint="BF"/>
        <w:left w:val="single" w:sz="8" w:space="0" w:color="B4D2EB" w:themeColor="accent5" w:themeTint="BF"/>
        <w:bottom w:val="single" w:sz="8" w:space="0" w:color="B4D2EB" w:themeColor="accent5" w:themeTint="BF"/>
        <w:right w:val="single" w:sz="8" w:space="0" w:color="B4D2EB" w:themeColor="accent5" w:themeTint="BF"/>
        <w:insideH w:val="single" w:sz="8" w:space="0" w:color="B4D2E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D2EB" w:themeColor="accent5" w:themeTint="BF"/>
          <w:left w:val="single" w:sz="8" w:space="0" w:color="B4D2EB" w:themeColor="accent5" w:themeTint="BF"/>
          <w:bottom w:val="single" w:sz="8" w:space="0" w:color="B4D2EB" w:themeColor="accent5" w:themeTint="BF"/>
          <w:right w:val="single" w:sz="8" w:space="0" w:color="B4D2EB" w:themeColor="accent5" w:themeTint="BF"/>
          <w:insideH w:val="nil"/>
          <w:insideV w:val="nil"/>
        </w:tcBorders>
        <w:shd w:val="clear" w:color="auto" w:fill="9CC3E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D2EB" w:themeColor="accent5" w:themeTint="BF"/>
          <w:left w:val="single" w:sz="8" w:space="0" w:color="B4D2EB" w:themeColor="accent5" w:themeTint="BF"/>
          <w:bottom w:val="single" w:sz="8" w:space="0" w:color="B4D2EB" w:themeColor="accent5" w:themeTint="BF"/>
          <w:right w:val="single" w:sz="8" w:space="0" w:color="B4D2E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F0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F0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0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8015">
          <w:marLeft w:val="-4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4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7" w:color="EEEEEE"/>
                        <w:right w:val="none" w:sz="0" w:space="0" w:color="auto"/>
                      </w:divBdr>
                    </w:div>
                    <w:div w:id="43483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1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inmetro.gov.br/noticias/livroMetrologia/07_LivroMetrologia_cap06.PDF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ebrae.com.br/sites/PortalSebrae/artigos/o-que-e-normalizacao,82bc438af1c92410VgnVCM100000b272010aRCR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inmetro.gov.br/qualidade/pdf/guia_portugues.pdf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bnt.org.br/normalizacao/o-que-e/o-que-e" TargetMode="External"/><Relationship Id="rId20" Type="http://schemas.openxmlformats.org/officeDocument/2006/relationships/hyperlink" Target="http://www.sitedoconsumidor.gov.br/qualidade/rtepac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inmetro.gov.br/inovacao/publicacoes/acpq.pdf" TargetMode="External"/><Relationship Id="rId6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Personalizada 4">
      <a:dk1>
        <a:sysClr val="windowText" lastClr="000000"/>
      </a:dk1>
      <a:lt1>
        <a:sysClr val="window" lastClr="FFFFFF"/>
      </a:lt1>
      <a:dk2>
        <a:srgbClr val="002060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7F0000"/>
      </a:accent4>
      <a:accent5>
        <a:srgbClr val="9CC3E5"/>
      </a:accent5>
      <a:accent6>
        <a:srgbClr val="008080"/>
      </a:accent6>
      <a:hlink>
        <a:srgbClr val="FF0000"/>
      </a:hlink>
      <a:folHlink>
        <a:srgbClr val="00B050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C0DED9-D5F4-467B-8887-9E1E60897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12</Pages>
  <Words>2418</Words>
  <Characters>13060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Certificar</dc:creator>
  <cp:lastModifiedBy>Aline Marques Rodrigues</cp:lastModifiedBy>
  <cp:revision>8</cp:revision>
  <cp:lastPrinted>2020-05-24T15:28:00Z</cp:lastPrinted>
  <dcterms:created xsi:type="dcterms:W3CDTF">2018-07-17T20:23:00Z</dcterms:created>
  <dcterms:modified xsi:type="dcterms:W3CDTF">2020-05-24T15:28:00Z</dcterms:modified>
</cp:coreProperties>
</file>