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FCF17" w14:textId="5B63E958" w:rsidR="00512F7B" w:rsidRPr="002102FA" w:rsidRDefault="00164D26" w:rsidP="008F2A8A">
      <w:pPr>
        <w:widowControl w:val="0"/>
        <w:spacing w:before="240" w:after="240" w:line="360" w:lineRule="auto"/>
        <w:rPr>
          <w:rFonts w:asciiTheme="majorHAnsi" w:hAnsiTheme="majorHAnsi" w:cstheme="majorHAnsi"/>
        </w:rPr>
      </w:pPr>
      <w:bookmarkStart w:id="0" w:name="_Toc14881335"/>
      <w:r>
        <w:rPr>
          <w:noProof/>
        </w:rPr>
        <w:drawing>
          <wp:anchor distT="0" distB="0" distL="114300" distR="114300" simplePos="0" relativeHeight="251689984" behindDoc="1" locked="0" layoutInCell="1" allowOverlap="1" wp14:anchorId="10371E0D" wp14:editId="31366564">
            <wp:simplePos x="0" y="0"/>
            <wp:positionH relativeFrom="page">
              <wp:align>right</wp:align>
            </wp:positionH>
            <wp:positionV relativeFrom="paragraph">
              <wp:posOffset>-900430</wp:posOffset>
            </wp:positionV>
            <wp:extent cx="7549076" cy="10667240"/>
            <wp:effectExtent l="0" t="0" r="0" b="127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9076" cy="1066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CD726" w14:textId="0E06BD79" w:rsidR="00604E39" w:rsidRPr="002102FA" w:rsidRDefault="00604E39" w:rsidP="008F2A8A">
      <w:pPr>
        <w:widowControl w:val="0"/>
        <w:spacing w:before="240" w:after="240" w:line="360" w:lineRule="auto"/>
        <w:rPr>
          <w:rFonts w:asciiTheme="majorHAnsi" w:hAnsiTheme="majorHAnsi" w:cstheme="majorHAnsi"/>
        </w:rPr>
        <w:sectPr w:rsidR="00604E39" w:rsidRPr="002102FA" w:rsidSect="000518CB">
          <w:headerReference w:type="default" r:id="rId8"/>
          <w:footerReference w:type="default" r:id="rId9"/>
          <w:pgSz w:w="11906" w:h="16838"/>
          <w:pgMar w:top="1418" w:right="1134" w:bottom="1134" w:left="1134" w:header="568" w:footer="708" w:gutter="0"/>
          <w:cols w:space="708"/>
          <w:docGrid w:linePitch="360"/>
        </w:sectPr>
      </w:pPr>
    </w:p>
    <w:p w14:paraId="76ACD636" w14:textId="77777777" w:rsidR="00512F7B" w:rsidRDefault="00512F7B" w:rsidP="008F2A8A">
      <w:pPr>
        <w:widowControl w:val="0"/>
        <w:spacing w:before="240" w:after="240" w:line="360" w:lineRule="auto"/>
        <w:rPr>
          <w:rFonts w:asciiTheme="majorHAnsi" w:hAnsiTheme="majorHAnsi" w:cstheme="majorHAnsi"/>
        </w:rPr>
      </w:pPr>
    </w:p>
    <w:p w14:paraId="21A83622" w14:textId="77777777" w:rsidR="008F2A8A" w:rsidRDefault="008F2A8A" w:rsidP="008F2A8A">
      <w:pPr>
        <w:widowControl w:val="0"/>
        <w:spacing w:before="240" w:after="240" w:line="360" w:lineRule="auto"/>
        <w:rPr>
          <w:rFonts w:asciiTheme="majorHAnsi" w:hAnsiTheme="majorHAnsi" w:cstheme="majorHAnsi"/>
        </w:rPr>
      </w:pPr>
    </w:p>
    <w:p w14:paraId="4D317FB5" w14:textId="77777777" w:rsidR="008F2A8A" w:rsidRPr="002102FA" w:rsidRDefault="008F2A8A" w:rsidP="008F2A8A">
      <w:pPr>
        <w:widowControl w:val="0"/>
        <w:spacing w:before="240" w:after="240" w:line="360" w:lineRule="auto"/>
        <w:rPr>
          <w:rFonts w:asciiTheme="majorHAnsi" w:hAnsiTheme="majorHAnsi" w:cstheme="majorHAnsi"/>
        </w:rPr>
      </w:pPr>
    </w:p>
    <w:sdt>
      <w:sdtPr>
        <w:rPr>
          <w:rFonts w:asciiTheme="minorHAnsi" w:eastAsiaTheme="minorHAnsi" w:hAnsiTheme="minorHAnsi" w:cstheme="majorHAnsi"/>
          <w:b w:val="0"/>
          <w:color w:val="auto"/>
          <w:sz w:val="22"/>
          <w:szCs w:val="22"/>
          <w:lang w:val="en-US" w:eastAsia="en-US"/>
        </w:rPr>
        <w:id w:val="-2070406665"/>
        <w:docPartObj>
          <w:docPartGallery w:val="Table of Contents"/>
          <w:docPartUnique/>
        </w:docPartObj>
      </w:sdtPr>
      <w:sdtEndPr>
        <w:rPr>
          <w:bCs/>
          <w:lang w:val="pt-BR"/>
        </w:rPr>
      </w:sdtEndPr>
      <w:sdtContent>
        <w:p w14:paraId="7738DA8E" w14:textId="77777777" w:rsidR="004938AD" w:rsidRPr="002102FA" w:rsidRDefault="004938AD" w:rsidP="008F2A8A">
          <w:pPr>
            <w:pStyle w:val="CabealhodoSumrio"/>
            <w:numPr>
              <w:ilvl w:val="0"/>
              <w:numId w:val="0"/>
            </w:numPr>
            <w:spacing w:before="240" w:after="240" w:line="360" w:lineRule="auto"/>
            <w:ind w:left="432" w:hanging="432"/>
            <w:jc w:val="center"/>
            <w:rPr>
              <w:rFonts w:cstheme="majorHAnsi"/>
            </w:rPr>
          </w:pPr>
          <w:r w:rsidRPr="002102FA">
            <w:rPr>
              <w:rFonts w:cstheme="majorHAnsi"/>
            </w:rPr>
            <w:t>Sumário</w:t>
          </w:r>
        </w:p>
        <w:p w14:paraId="59DD91AC" w14:textId="77777777" w:rsidR="00512F7B" w:rsidRPr="00FF471A" w:rsidRDefault="00512F7B" w:rsidP="008F2A8A">
          <w:pPr>
            <w:spacing w:after="0" w:line="360" w:lineRule="auto"/>
            <w:rPr>
              <w:rFonts w:asciiTheme="majorHAnsi" w:hAnsiTheme="majorHAnsi" w:cstheme="majorHAnsi"/>
              <w:lang w:eastAsia="pt-BR"/>
            </w:rPr>
          </w:pPr>
        </w:p>
        <w:p w14:paraId="5375D82D" w14:textId="256BCE98" w:rsidR="00512F7B" w:rsidRPr="00FF471A" w:rsidRDefault="004938AD" w:rsidP="008F2A8A">
          <w:pPr>
            <w:pStyle w:val="Sumrio1"/>
            <w:tabs>
              <w:tab w:val="left" w:pos="440"/>
            </w:tabs>
            <w:spacing w:before="0" w:after="0" w:line="360" w:lineRule="auto"/>
            <w:rPr>
              <w:rFonts w:eastAsiaTheme="minorEastAsia" w:cstheme="minorHAnsi"/>
              <w:b w:val="0"/>
              <w:bCs w:val="0"/>
              <w:noProof/>
              <w:sz w:val="22"/>
              <w:szCs w:val="22"/>
              <w:lang w:eastAsia="pt-BR"/>
            </w:rPr>
          </w:pPr>
          <w:r w:rsidRPr="00FF471A">
            <w:rPr>
              <w:rFonts w:asciiTheme="majorHAnsi" w:eastAsia="Franklin Gothic Medium" w:hAnsiTheme="majorHAnsi" w:cstheme="majorHAnsi"/>
              <w:b w:val="0"/>
              <w:bCs w:val="0"/>
              <w:i/>
              <w:iCs/>
              <w:sz w:val="22"/>
              <w:szCs w:val="22"/>
              <w:lang w:val="en-US"/>
            </w:rPr>
            <w:fldChar w:fldCharType="begin"/>
          </w:r>
          <w:r w:rsidRPr="00FF471A">
            <w:rPr>
              <w:rFonts w:asciiTheme="majorHAnsi" w:hAnsiTheme="majorHAnsi" w:cstheme="majorHAnsi"/>
              <w:sz w:val="22"/>
              <w:szCs w:val="22"/>
            </w:rPr>
            <w:instrText xml:space="preserve"> TOC \o "1-3" \h \z \u </w:instrText>
          </w:r>
          <w:r w:rsidRPr="00FF471A">
            <w:rPr>
              <w:rFonts w:asciiTheme="majorHAnsi" w:eastAsia="Franklin Gothic Medium" w:hAnsiTheme="majorHAnsi" w:cstheme="majorHAnsi"/>
              <w:b w:val="0"/>
              <w:bCs w:val="0"/>
              <w:i/>
              <w:iCs/>
              <w:sz w:val="22"/>
              <w:szCs w:val="22"/>
              <w:lang w:val="en-US"/>
            </w:rPr>
            <w:fldChar w:fldCharType="separate"/>
          </w:r>
          <w:hyperlink w:anchor="_Toc22564396" w:history="1">
            <w:r w:rsidR="00512F7B" w:rsidRPr="00FF471A">
              <w:rPr>
                <w:rStyle w:val="Hyperlink"/>
                <w:rFonts w:eastAsia="Verdana" w:cstheme="minorHAnsi"/>
                <w:b w:val="0"/>
                <w:noProof/>
                <w:sz w:val="22"/>
                <w:szCs w:val="22"/>
              </w:rPr>
              <w:t>1 -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Sistema de Gestão da Qualidade. O que é?</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_Toc22564396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sidR="001F59D2">
              <w:rPr>
                <w:rFonts w:cstheme="minorHAnsi"/>
                <w:b w:val="0"/>
                <w:noProof/>
                <w:webHidden/>
                <w:sz w:val="22"/>
                <w:szCs w:val="22"/>
              </w:rPr>
              <w:t>4</w:t>
            </w:r>
            <w:r w:rsidR="00512F7B" w:rsidRPr="00FF471A">
              <w:rPr>
                <w:rFonts w:cstheme="minorHAnsi"/>
                <w:b w:val="0"/>
                <w:noProof/>
                <w:webHidden/>
                <w:sz w:val="22"/>
                <w:szCs w:val="22"/>
              </w:rPr>
              <w:fldChar w:fldCharType="end"/>
            </w:r>
          </w:hyperlink>
        </w:p>
        <w:p w14:paraId="6AF30B04" w14:textId="00C31BCF" w:rsidR="00512F7B" w:rsidRPr="00FF471A" w:rsidRDefault="001F59D2" w:rsidP="008F2A8A">
          <w:pPr>
            <w:pStyle w:val="Sumrio1"/>
            <w:tabs>
              <w:tab w:val="left" w:pos="440"/>
            </w:tabs>
            <w:spacing w:before="0" w:after="0" w:line="360" w:lineRule="auto"/>
            <w:rPr>
              <w:rFonts w:eastAsiaTheme="minorEastAsia" w:cstheme="minorHAnsi"/>
              <w:b w:val="0"/>
              <w:bCs w:val="0"/>
              <w:noProof/>
              <w:sz w:val="22"/>
              <w:szCs w:val="22"/>
              <w:lang w:eastAsia="pt-BR"/>
            </w:rPr>
          </w:pPr>
          <w:hyperlink w:anchor="_Toc22564397" w:history="1">
            <w:r w:rsidR="00512F7B" w:rsidRPr="00FF471A">
              <w:rPr>
                <w:rStyle w:val="Hyperlink"/>
                <w:rFonts w:eastAsia="Verdana" w:cstheme="minorHAnsi"/>
                <w:b w:val="0"/>
                <w:noProof/>
                <w:sz w:val="22"/>
                <w:szCs w:val="22"/>
              </w:rPr>
              <w:t>2 -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Fundamentos de Gestão da Qualidade</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_Toc22564397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5</w:t>
            </w:r>
            <w:r w:rsidR="00512F7B" w:rsidRPr="00FF471A">
              <w:rPr>
                <w:rFonts w:cstheme="minorHAnsi"/>
                <w:b w:val="0"/>
                <w:noProof/>
                <w:webHidden/>
                <w:sz w:val="22"/>
                <w:szCs w:val="22"/>
              </w:rPr>
              <w:fldChar w:fldCharType="end"/>
            </w:r>
          </w:hyperlink>
        </w:p>
        <w:p w14:paraId="08FA7C09" w14:textId="423DF516"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398" w:history="1">
            <w:r w:rsidR="00512F7B" w:rsidRPr="00FF471A">
              <w:rPr>
                <w:rStyle w:val="Hyperlink"/>
                <w:rFonts w:cstheme="minorHAnsi"/>
                <w:noProof/>
                <w:sz w:val="22"/>
                <w:szCs w:val="22"/>
              </w:rPr>
              <w:t>2.1.</w:t>
            </w:r>
            <w:r w:rsidR="00512F7B" w:rsidRPr="00FF471A">
              <w:rPr>
                <w:rFonts w:eastAsiaTheme="minorEastAsia" w:cstheme="minorHAnsi"/>
                <w:i w:val="0"/>
                <w:iCs w:val="0"/>
                <w:noProof/>
                <w:sz w:val="22"/>
                <w:szCs w:val="22"/>
                <w:lang w:eastAsia="pt-BR"/>
              </w:rPr>
              <w:tab/>
            </w:r>
            <w:r w:rsidR="00512F7B" w:rsidRPr="00FF471A">
              <w:rPr>
                <w:rStyle w:val="Hyperlink"/>
                <w:rFonts w:cstheme="minorHAnsi"/>
                <w:noProof/>
                <w:sz w:val="22"/>
                <w:szCs w:val="22"/>
              </w:rPr>
              <w:t>ISO 9000:2015</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_Toc22564398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6</w:t>
            </w:r>
            <w:r w:rsidR="00512F7B" w:rsidRPr="00FF471A">
              <w:rPr>
                <w:rFonts w:cstheme="minorHAnsi"/>
                <w:noProof/>
                <w:webHidden/>
                <w:sz w:val="22"/>
                <w:szCs w:val="22"/>
              </w:rPr>
              <w:fldChar w:fldCharType="end"/>
            </w:r>
          </w:hyperlink>
        </w:p>
        <w:p w14:paraId="0C75282F" w14:textId="62DD563A" w:rsidR="00512F7B" w:rsidRPr="00FF471A" w:rsidRDefault="001F59D2" w:rsidP="008F2A8A">
          <w:pPr>
            <w:pStyle w:val="Sumrio1"/>
            <w:tabs>
              <w:tab w:val="left" w:pos="440"/>
            </w:tabs>
            <w:spacing w:before="0" w:after="0" w:line="360" w:lineRule="auto"/>
            <w:rPr>
              <w:rFonts w:eastAsiaTheme="minorEastAsia" w:cstheme="minorHAnsi"/>
              <w:b w:val="0"/>
              <w:bCs w:val="0"/>
              <w:noProof/>
              <w:sz w:val="22"/>
              <w:szCs w:val="22"/>
              <w:lang w:eastAsia="pt-BR"/>
            </w:rPr>
          </w:pPr>
          <w:hyperlink w:anchor="_Toc22564399" w:history="1">
            <w:r w:rsidR="00512F7B" w:rsidRPr="00FF471A">
              <w:rPr>
                <w:rStyle w:val="Hyperlink"/>
                <w:rFonts w:eastAsia="Verdana" w:cstheme="minorHAnsi"/>
                <w:b w:val="0"/>
                <w:noProof/>
                <w:sz w:val="22"/>
                <w:szCs w:val="22"/>
              </w:rPr>
              <w:t>3 -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Certificação</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_Toc22564399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7</w:t>
            </w:r>
            <w:r w:rsidR="00512F7B" w:rsidRPr="00FF471A">
              <w:rPr>
                <w:rFonts w:cstheme="minorHAnsi"/>
                <w:b w:val="0"/>
                <w:noProof/>
                <w:webHidden/>
                <w:sz w:val="22"/>
                <w:szCs w:val="22"/>
              </w:rPr>
              <w:fldChar w:fldCharType="end"/>
            </w:r>
          </w:hyperlink>
        </w:p>
        <w:p w14:paraId="05934E6C" w14:textId="5AC1D668" w:rsidR="00512F7B" w:rsidRPr="00FF471A" w:rsidRDefault="001F59D2" w:rsidP="008F2A8A">
          <w:pPr>
            <w:pStyle w:val="Sumrio1"/>
            <w:tabs>
              <w:tab w:val="left" w:pos="440"/>
            </w:tabs>
            <w:spacing w:before="0" w:after="0" w:line="360" w:lineRule="auto"/>
            <w:rPr>
              <w:rFonts w:eastAsiaTheme="minorEastAsia" w:cstheme="minorHAnsi"/>
              <w:b w:val="0"/>
              <w:bCs w:val="0"/>
              <w:noProof/>
              <w:sz w:val="22"/>
              <w:szCs w:val="22"/>
              <w:lang w:eastAsia="pt-BR"/>
            </w:rPr>
          </w:pPr>
          <w:hyperlink w:anchor="_Toc22564400" w:history="1">
            <w:r w:rsidR="00512F7B" w:rsidRPr="00FF471A">
              <w:rPr>
                <w:rStyle w:val="Hyperlink"/>
                <w:rFonts w:eastAsia="Verdana" w:cstheme="minorHAnsi"/>
                <w:b w:val="0"/>
                <w:noProof/>
                <w:sz w:val="22"/>
                <w:szCs w:val="22"/>
              </w:rPr>
              <w:t>4 -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Acreditação</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_Toc22564400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8</w:t>
            </w:r>
            <w:r w:rsidR="00512F7B" w:rsidRPr="00FF471A">
              <w:rPr>
                <w:rFonts w:cstheme="minorHAnsi"/>
                <w:b w:val="0"/>
                <w:noProof/>
                <w:webHidden/>
                <w:sz w:val="22"/>
                <w:szCs w:val="22"/>
              </w:rPr>
              <w:fldChar w:fldCharType="end"/>
            </w:r>
          </w:hyperlink>
        </w:p>
        <w:p w14:paraId="7F343350" w14:textId="334A6822" w:rsidR="00512F7B" w:rsidRPr="00FF471A" w:rsidRDefault="001F59D2" w:rsidP="008F2A8A">
          <w:pPr>
            <w:pStyle w:val="Sumrio1"/>
            <w:tabs>
              <w:tab w:val="left" w:pos="440"/>
            </w:tabs>
            <w:spacing w:before="0" w:after="0" w:line="360" w:lineRule="auto"/>
            <w:rPr>
              <w:rFonts w:eastAsiaTheme="minorEastAsia" w:cstheme="minorHAnsi"/>
              <w:b w:val="0"/>
              <w:bCs w:val="0"/>
              <w:noProof/>
              <w:sz w:val="22"/>
              <w:szCs w:val="22"/>
              <w:lang w:eastAsia="pt-BR"/>
            </w:rPr>
          </w:pPr>
          <w:hyperlink w:anchor="_Toc22564401" w:history="1">
            <w:r w:rsidR="00512F7B" w:rsidRPr="00FF471A">
              <w:rPr>
                <w:rStyle w:val="Hyperlink"/>
                <w:rFonts w:eastAsia="Verdana" w:cstheme="minorHAnsi"/>
                <w:b w:val="0"/>
                <w:noProof/>
                <w:sz w:val="22"/>
                <w:szCs w:val="22"/>
              </w:rPr>
              <w:t>5 -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ISO/IEC 17025</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_Toc22564401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9</w:t>
            </w:r>
            <w:r w:rsidR="00512F7B" w:rsidRPr="00FF471A">
              <w:rPr>
                <w:rFonts w:cstheme="minorHAnsi"/>
                <w:b w:val="0"/>
                <w:noProof/>
                <w:webHidden/>
                <w:sz w:val="22"/>
                <w:szCs w:val="22"/>
              </w:rPr>
              <w:fldChar w:fldCharType="end"/>
            </w:r>
          </w:hyperlink>
        </w:p>
        <w:p w14:paraId="10A1791B" w14:textId="66FAD87F" w:rsidR="00512F7B" w:rsidRPr="00FF471A" w:rsidRDefault="001F59D2" w:rsidP="008F2A8A">
          <w:pPr>
            <w:pStyle w:val="Sumrio1"/>
            <w:tabs>
              <w:tab w:val="left" w:pos="440"/>
            </w:tabs>
            <w:spacing w:before="0" w:after="0" w:line="360" w:lineRule="auto"/>
            <w:rPr>
              <w:rFonts w:eastAsiaTheme="minorEastAsia" w:cstheme="minorHAnsi"/>
              <w:b w:val="0"/>
              <w:bCs w:val="0"/>
              <w:noProof/>
              <w:sz w:val="22"/>
              <w:szCs w:val="22"/>
              <w:lang w:eastAsia="pt-BR"/>
            </w:rPr>
          </w:pPr>
          <w:hyperlink w:anchor="_Toc22564402" w:history="1">
            <w:r w:rsidR="00512F7B" w:rsidRPr="00FF471A">
              <w:rPr>
                <w:rStyle w:val="Hyperlink"/>
                <w:rFonts w:eastAsia="Verdana" w:cstheme="minorHAnsi"/>
                <w:b w:val="0"/>
                <w:noProof/>
                <w:sz w:val="22"/>
                <w:szCs w:val="22"/>
              </w:rPr>
              <w:t>6 -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Outras normas de referência</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_Toc22564402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9</w:t>
            </w:r>
            <w:r w:rsidR="00512F7B" w:rsidRPr="00FF471A">
              <w:rPr>
                <w:rFonts w:cstheme="minorHAnsi"/>
                <w:b w:val="0"/>
                <w:noProof/>
                <w:webHidden/>
                <w:sz w:val="22"/>
                <w:szCs w:val="22"/>
              </w:rPr>
              <w:fldChar w:fldCharType="end"/>
            </w:r>
          </w:hyperlink>
        </w:p>
        <w:p w14:paraId="1DAFA9CC" w14:textId="68925B38" w:rsidR="00512F7B" w:rsidRPr="00FF471A" w:rsidRDefault="001F59D2" w:rsidP="008F2A8A">
          <w:pPr>
            <w:pStyle w:val="Sumrio1"/>
            <w:tabs>
              <w:tab w:val="left" w:pos="440"/>
            </w:tabs>
            <w:spacing w:before="0" w:after="0" w:line="360" w:lineRule="auto"/>
            <w:rPr>
              <w:rFonts w:eastAsiaTheme="minorEastAsia" w:cstheme="minorHAnsi"/>
              <w:b w:val="0"/>
              <w:bCs w:val="0"/>
              <w:noProof/>
              <w:sz w:val="22"/>
              <w:szCs w:val="22"/>
              <w:lang w:eastAsia="pt-BR"/>
            </w:rPr>
          </w:pPr>
          <w:hyperlink w:anchor="_Toc22564403" w:history="1">
            <w:r w:rsidR="00512F7B" w:rsidRPr="00FF471A">
              <w:rPr>
                <w:rStyle w:val="Hyperlink"/>
                <w:rFonts w:eastAsia="Verdana" w:cstheme="minorHAnsi"/>
                <w:b w:val="0"/>
                <w:noProof/>
                <w:sz w:val="22"/>
                <w:szCs w:val="22"/>
              </w:rPr>
              <w:t>7 -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Acreditação e ISO/IEC 17025</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_Toc22564403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10</w:t>
            </w:r>
            <w:r w:rsidR="00512F7B" w:rsidRPr="00FF471A">
              <w:rPr>
                <w:rFonts w:cstheme="minorHAnsi"/>
                <w:b w:val="0"/>
                <w:noProof/>
                <w:webHidden/>
                <w:sz w:val="22"/>
                <w:szCs w:val="22"/>
              </w:rPr>
              <w:fldChar w:fldCharType="end"/>
            </w:r>
          </w:hyperlink>
        </w:p>
        <w:p w14:paraId="7711B84B" w14:textId="29175338" w:rsidR="00512F7B" w:rsidRPr="00FF471A" w:rsidRDefault="001F59D2" w:rsidP="008F2A8A">
          <w:pPr>
            <w:pStyle w:val="Sumrio1"/>
            <w:tabs>
              <w:tab w:val="left" w:pos="440"/>
            </w:tabs>
            <w:spacing w:before="0" w:after="0" w:line="360" w:lineRule="auto"/>
            <w:rPr>
              <w:rFonts w:eastAsiaTheme="minorEastAsia" w:cstheme="minorHAnsi"/>
              <w:b w:val="0"/>
              <w:bCs w:val="0"/>
              <w:noProof/>
              <w:sz w:val="22"/>
              <w:szCs w:val="22"/>
              <w:lang w:eastAsia="pt-BR"/>
            </w:rPr>
          </w:pPr>
          <w:hyperlink w:anchor="_Toc22564404" w:history="1">
            <w:r w:rsidR="00512F7B" w:rsidRPr="00FF471A">
              <w:rPr>
                <w:rStyle w:val="Hyperlink"/>
                <w:rFonts w:eastAsia="Verdana" w:cstheme="minorHAnsi"/>
                <w:b w:val="0"/>
                <w:noProof/>
                <w:sz w:val="22"/>
                <w:szCs w:val="22"/>
              </w:rPr>
              <w:t>8 -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Laboratório de Ensaio</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_Toc22564404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12</w:t>
            </w:r>
            <w:r w:rsidR="00512F7B" w:rsidRPr="00FF471A">
              <w:rPr>
                <w:rFonts w:cstheme="minorHAnsi"/>
                <w:b w:val="0"/>
                <w:noProof/>
                <w:webHidden/>
                <w:sz w:val="22"/>
                <w:szCs w:val="22"/>
              </w:rPr>
              <w:fldChar w:fldCharType="end"/>
            </w:r>
          </w:hyperlink>
        </w:p>
        <w:p w14:paraId="7DD8167E" w14:textId="7D9A1BA7" w:rsidR="00512F7B" w:rsidRPr="00FF471A" w:rsidRDefault="001F59D2" w:rsidP="008F2A8A">
          <w:pPr>
            <w:pStyle w:val="Sumrio1"/>
            <w:tabs>
              <w:tab w:val="left" w:pos="440"/>
            </w:tabs>
            <w:spacing w:before="0" w:after="0" w:line="360" w:lineRule="auto"/>
            <w:rPr>
              <w:rFonts w:eastAsiaTheme="minorEastAsia" w:cstheme="minorHAnsi"/>
              <w:b w:val="0"/>
              <w:bCs w:val="0"/>
              <w:noProof/>
              <w:sz w:val="22"/>
              <w:szCs w:val="22"/>
              <w:lang w:eastAsia="pt-BR"/>
            </w:rPr>
          </w:pPr>
          <w:hyperlink w:anchor="_Toc22564405" w:history="1">
            <w:r w:rsidR="00512F7B" w:rsidRPr="00FF471A">
              <w:rPr>
                <w:rStyle w:val="Hyperlink"/>
                <w:rFonts w:eastAsia="Verdana" w:cstheme="minorHAnsi"/>
                <w:b w:val="0"/>
                <w:noProof/>
                <w:sz w:val="22"/>
                <w:szCs w:val="22"/>
              </w:rPr>
              <w:t>9 -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Laboratório de Calibração</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_Toc22564405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12</w:t>
            </w:r>
            <w:r w:rsidR="00512F7B" w:rsidRPr="00FF471A">
              <w:rPr>
                <w:rFonts w:cstheme="minorHAnsi"/>
                <w:b w:val="0"/>
                <w:noProof/>
                <w:webHidden/>
                <w:sz w:val="22"/>
                <w:szCs w:val="22"/>
              </w:rPr>
              <w:fldChar w:fldCharType="end"/>
            </w:r>
          </w:hyperlink>
        </w:p>
        <w:p w14:paraId="65E3ECB6" w14:textId="2688957C" w:rsidR="00512F7B" w:rsidRPr="00FF471A" w:rsidRDefault="001F59D2" w:rsidP="008F2A8A">
          <w:pPr>
            <w:pStyle w:val="Sumrio1"/>
            <w:tabs>
              <w:tab w:val="left" w:pos="660"/>
            </w:tabs>
            <w:spacing w:before="0" w:after="0" w:line="360" w:lineRule="auto"/>
            <w:rPr>
              <w:rFonts w:eastAsiaTheme="minorEastAsia" w:cstheme="minorHAnsi"/>
              <w:b w:val="0"/>
              <w:bCs w:val="0"/>
              <w:noProof/>
              <w:sz w:val="22"/>
              <w:szCs w:val="22"/>
              <w:lang w:eastAsia="pt-BR"/>
            </w:rPr>
          </w:pPr>
          <w:hyperlink w:anchor="_Toc22564406" w:history="1">
            <w:r w:rsidR="00512F7B" w:rsidRPr="00FF471A">
              <w:rPr>
                <w:rStyle w:val="Hyperlink"/>
                <w:rFonts w:eastAsia="Verdana" w:cstheme="minorHAnsi"/>
                <w:b w:val="0"/>
                <w:noProof/>
                <w:sz w:val="22"/>
                <w:szCs w:val="22"/>
              </w:rPr>
              <w:t>10 -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 xml:space="preserve">NBR </w:t>
            </w:r>
            <w:r w:rsidR="00512F7B" w:rsidRPr="00FF471A">
              <w:rPr>
                <w:rStyle w:val="Hyperlink"/>
                <w:rFonts w:cstheme="minorHAnsi"/>
                <w:b w:val="0"/>
                <w:noProof/>
                <w:sz w:val="22"/>
                <w:szCs w:val="22"/>
              </w:rPr>
              <w:t>ISO/IEC 17025 – Um breve histórico</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_Toc22564406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13</w:t>
            </w:r>
            <w:r w:rsidR="00512F7B" w:rsidRPr="00FF471A">
              <w:rPr>
                <w:rFonts w:cstheme="minorHAnsi"/>
                <w:b w:val="0"/>
                <w:noProof/>
                <w:webHidden/>
                <w:sz w:val="22"/>
                <w:szCs w:val="22"/>
              </w:rPr>
              <w:fldChar w:fldCharType="end"/>
            </w:r>
          </w:hyperlink>
        </w:p>
        <w:p w14:paraId="73FCF594" w14:textId="5E1E17D2" w:rsidR="00512F7B" w:rsidRPr="00FF471A" w:rsidRDefault="001F59D2" w:rsidP="008F2A8A">
          <w:pPr>
            <w:pStyle w:val="Sumrio1"/>
            <w:tabs>
              <w:tab w:val="left" w:pos="660"/>
            </w:tabs>
            <w:spacing w:before="0" w:after="0" w:line="360" w:lineRule="auto"/>
            <w:rPr>
              <w:rFonts w:eastAsiaTheme="minorEastAsia" w:cstheme="minorHAnsi"/>
              <w:b w:val="0"/>
              <w:bCs w:val="0"/>
              <w:noProof/>
              <w:sz w:val="22"/>
              <w:szCs w:val="22"/>
              <w:lang w:eastAsia="pt-BR"/>
            </w:rPr>
          </w:pPr>
          <w:hyperlink w:anchor="_Toc22564407" w:history="1">
            <w:r w:rsidR="00512F7B" w:rsidRPr="00FF471A">
              <w:rPr>
                <w:rStyle w:val="Hyperlink"/>
                <w:rFonts w:eastAsia="Verdana" w:cstheme="minorHAnsi"/>
                <w:b w:val="0"/>
                <w:noProof/>
                <w:sz w:val="22"/>
                <w:szCs w:val="22"/>
              </w:rPr>
              <w:t>11 -</w:t>
            </w:r>
            <w:r w:rsidR="00512F7B" w:rsidRPr="00FF471A">
              <w:rPr>
                <w:rFonts w:eastAsiaTheme="minorEastAsia" w:cstheme="minorHAnsi"/>
                <w:b w:val="0"/>
                <w:bCs w:val="0"/>
                <w:noProof/>
                <w:sz w:val="22"/>
                <w:szCs w:val="22"/>
                <w:lang w:eastAsia="pt-BR"/>
              </w:rPr>
              <w:tab/>
            </w:r>
            <w:r w:rsidR="00512F7B" w:rsidRPr="00FF471A">
              <w:rPr>
                <w:rStyle w:val="Hyperlink"/>
                <w:rFonts w:eastAsia="Verdana" w:cstheme="minorHAnsi"/>
                <w:b w:val="0"/>
                <w:noProof/>
                <w:sz w:val="22"/>
                <w:szCs w:val="22"/>
              </w:rPr>
              <w:t>A norma e sua estrutura</w:t>
            </w:r>
            <w:r w:rsidR="00512F7B" w:rsidRPr="00FF471A">
              <w:rPr>
                <w:rFonts w:cstheme="minorHAnsi"/>
                <w:b w:val="0"/>
                <w:noProof/>
                <w:webHidden/>
                <w:sz w:val="22"/>
                <w:szCs w:val="22"/>
              </w:rPr>
              <w:tab/>
            </w:r>
            <w:r w:rsidR="00512F7B" w:rsidRPr="00FF471A">
              <w:rPr>
                <w:rFonts w:cstheme="minorHAnsi"/>
                <w:b w:val="0"/>
                <w:noProof/>
                <w:webHidden/>
                <w:sz w:val="22"/>
                <w:szCs w:val="22"/>
              </w:rPr>
              <w:fldChar w:fldCharType="begin"/>
            </w:r>
            <w:r w:rsidR="00512F7B" w:rsidRPr="00FF471A">
              <w:rPr>
                <w:rFonts w:cstheme="minorHAnsi"/>
                <w:b w:val="0"/>
                <w:noProof/>
                <w:webHidden/>
                <w:sz w:val="22"/>
                <w:szCs w:val="22"/>
              </w:rPr>
              <w:instrText xml:space="preserve"> PAGEREF _Toc22564407 \h </w:instrText>
            </w:r>
            <w:r w:rsidR="00512F7B" w:rsidRPr="00FF471A">
              <w:rPr>
                <w:rFonts w:cstheme="minorHAnsi"/>
                <w:b w:val="0"/>
                <w:noProof/>
                <w:webHidden/>
                <w:sz w:val="22"/>
                <w:szCs w:val="22"/>
              </w:rPr>
            </w:r>
            <w:r w:rsidR="00512F7B" w:rsidRPr="00FF471A">
              <w:rPr>
                <w:rFonts w:cstheme="minorHAnsi"/>
                <w:b w:val="0"/>
                <w:noProof/>
                <w:webHidden/>
                <w:sz w:val="22"/>
                <w:szCs w:val="22"/>
              </w:rPr>
              <w:fldChar w:fldCharType="separate"/>
            </w:r>
            <w:r>
              <w:rPr>
                <w:rFonts w:cstheme="minorHAnsi"/>
                <w:b w:val="0"/>
                <w:noProof/>
                <w:webHidden/>
                <w:sz w:val="22"/>
                <w:szCs w:val="22"/>
              </w:rPr>
              <w:t>16</w:t>
            </w:r>
            <w:r w:rsidR="00512F7B" w:rsidRPr="00FF471A">
              <w:rPr>
                <w:rFonts w:cstheme="minorHAnsi"/>
                <w:b w:val="0"/>
                <w:noProof/>
                <w:webHidden/>
                <w:sz w:val="22"/>
                <w:szCs w:val="22"/>
              </w:rPr>
              <w:fldChar w:fldCharType="end"/>
            </w:r>
          </w:hyperlink>
        </w:p>
        <w:p w14:paraId="4A662B72" w14:textId="585C49D5"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29" w:history="1">
            <w:r w:rsidR="00512F7B" w:rsidRPr="00FF471A">
              <w:rPr>
                <w:rStyle w:val="Hyperlink"/>
                <w:rFonts w:eastAsia="Verdana" w:cstheme="minorHAnsi"/>
                <w:noProof/>
                <w:sz w:val="22"/>
                <w:szCs w:val="22"/>
              </w:rPr>
              <w:t>11.1</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noProof/>
                <w:sz w:val="22"/>
                <w:szCs w:val="22"/>
              </w:rPr>
              <w:t>Prefácio Nacional</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_Toc22564429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16</w:t>
            </w:r>
            <w:r w:rsidR="00512F7B" w:rsidRPr="00FF471A">
              <w:rPr>
                <w:rFonts w:cstheme="minorHAnsi"/>
                <w:noProof/>
                <w:webHidden/>
                <w:sz w:val="22"/>
                <w:szCs w:val="22"/>
              </w:rPr>
              <w:fldChar w:fldCharType="end"/>
            </w:r>
          </w:hyperlink>
        </w:p>
        <w:p w14:paraId="4C9D97D8" w14:textId="1D6084EF"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30" w:history="1">
            <w:r w:rsidR="00512F7B" w:rsidRPr="00FF471A">
              <w:rPr>
                <w:rStyle w:val="Hyperlink"/>
                <w:rFonts w:eastAsia="Verdana" w:cstheme="minorHAnsi"/>
                <w:noProof/>
                <w:sz w:val="22"/>
                <w:szCs w:val="22"/>
              </w:rPr>
              <w:t>11.2</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noProof/>
                <w:sz w:val="22"/>
                <w:szCs w:val="22"/>
              </w:rPr>
              <w:t>Introdução</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_Toc22564430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17</w:t>
            </w:r>
            <w:r w:rsidR="00512F7B" w:rsidRPr="00FF471A">
              <w:rPr>
                <w:rFonts w:cstheme="minorHAnsi"/>
                <w:noProof/>
                <w:webHidden/>
                <w:sz w:val="22"/>
                <w:szCs w:val="22"/>
              </w:rPr>
              <w:fldChar w:fldCharType="end"/>
            </w:r>
          </w:hyperlink>
        </w:p>
        <w:p w14:paraId="54D714BB" w14:textId="00BF2ECA"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31" w:history="1">
            <w:r w:rsidR="00512F7B" w:rsidRPr="00FF471A">
              <w:rPr>
                <w:rStyle w:val="Hyperlink"/>
                <w:rFonts w:eastAsia="Verdana" w:cstheme="minorHAnsi"/>
                <w:noProof/>
                <w:sz w:val="22"/>
                <w:szCs w:val="22"/>
              </w:rPr>
              <w:t>11.3</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noProof/>
                <w:sz w:val="22"/>
                <w:szCs w:val="22"/>
              </w:rPr>
              <w:t>Escopo</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_Toc22564431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18</w:t>
            </w:r>
            <w:r w:rsidR="00512F7B" w:rsidRPr="00FF471A">
              <w:rPr>
                <w:rFonts w:cstheme="minorHAnsi"/>
                <w:noProof/>
                <w:webHidden/>
                <w:sz w:val="22"/>
                <w:szCs w:val="22"/>
              </w:rPr>
              <w:fldChar w:fldCharType="end"/>
            </w:r>
          </w:hyperlink>
        </w:p>
        <w:p w14:paraId="5A432CEA" w14:textId="69D006E4"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32" w:history="1">
            <w:r w:rsidR="00512F7B" w:rsidRPr="00FF471A">
              <w:rPr>
                <w:rStyle w:val="Hyperlink"/>
                <w:rFonts w:eastAsia="Verdana" w:cstheme="minorHAnsi"/>
                <w:noProof/>
                <w:sz w:val="22"/>
                <w:szCs w:val="22"/>
              </w:rPr>
              <w:t>11.4</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noProof/>
                <w:sz w:val="22"/>
                <w:szCs w:val="22"/>
              </w:rPr>
              <w:t>Referências Normativas</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_Toc22564432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18</w:t>
            </w:r>
            <w:r w:rsidR="00512F7B" w:rsidRPr="00FF471A">
              <w:rPr>
                <w:rFonts w:cstheme="minorHAnsi"/>
                <w:noProof/>
                <w:webHidden/>
                <w:sz w:val="22"/>
                <w:szCs w:val="22"/>
              </w:rPr>
              <w:fldChar w:fldCharType="end"/>
            </w:r>
          </w:hyperlink>
        </w:p>
        <w:p w14:paraId="5E1EE4D2" w14:textId="1D0228D7"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33" w:history="1">
            <w:r w:rsidR="00512F7B" w:rsidRPr="00FF471A">
              <w:rPr>
                <w:rStyle w:val="Hyperlink"/>
                <w:rFonts w:cstheme="minorHAnsi"/>
                <w:noProof/>
                <w:sz w:val="22"/>
                <w:szCs w:val="22"/>
              </w:rPr>
              <w:t>11.5</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bCs/>
                <w:noProof/>
                <w:sz w:val="22"/>
                <w:szCs w:val="22"/>
              </w:rPr>
              <w:t>Termos</w:t>
            </w:r>
            <w:r w:rsidR="00512F7B" w:rsidRPr="00FF471A">
              <w:rPr>
                <w:rStyle w:val="Hyperlink"/>
                <w:rFonts w:cstheme="minorHAnsi"/>
                <w:noProof/>
                <w:sz w:val="22"/>
                <w:szCs w:val="22"/>
              </w:rPr>
              <w:t xml:space="preserve"> e Definições</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_Toc22564433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19</w:t>
            </w:r>
            <w:r w:rsidR="00512F7B" w:rsidRPr="00FF471A">
              <w:rPr>
                <w:rFonts w:cstheme="minorHAnsi"/>
                <w:noProof/>
                <w:webHidden/>
                <w:sz w:val="22"/>
                <w:szCs w:val="22"/>
              </w:rPr>
              <w:fldChar w:fldCharType="end"/>
            </w:r>
          </w:hyperlink>
        </w:p>
        <w:p w14:paraId="623D47FE" w14:textId="5F6140D4"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34" w:history="1">
            <w:r w:rsidR="00512F7B" w:rsidRPr="00FF471A">
              <w:rPr>
                <w:rStyle w:val="Hyperlink"/>
                <w:rFonts w:eastAsia="Verdana" w:cstheme="minorHAnsi"/>
                <w:bCs/>
                <w:noProof/>
                <w:sz w:val="22"/>
                <w:szCs w:val="22"/>
              </w:rPr>
              <w:t>11.6</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bCs/>
                <w:noProof/>
                <w:sz w:val="22"/>
                <w:szCs w:val="22"/>
              </w:rPr>
              <w:t>Requisitos gerais</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_Toc22564434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22</w:t>
            </w:r>
            <w:r w:rsidR="00512F7B" w:rsidRPr="00FF471A">
              <w:rPr>
                <w:rFonts w:cstheme="minorHAnsi"/>
                <w:noProof/>
                <w:webHidden/>
                <w:sz w:val="22"/>
                <w:szCs w:val="22"/>
              </w:rPr>
              <w:fldChar w:fldCharType="end"/>
            </w:r>
          </w:hyperlink>
        </w:p>
        <w:p w14:paraId="63FFD734" w14:textId="0C242A32"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35" w:history="1">
            <w:r w:rsidR="00512F7B" w:rsidRPr="00FF471A">
              <w:rPr>
                <w:rStyle w:val="Hyperlink"/>
                <w:rFonts w:eastAsia="Verdana" w:cstheme="minorHAnsi"/>
                <w:bCs/>
                <w:noProof/>
                <w:sz w:val="22"/>
                <w:szCs w:val="22"/>
              </w:rPr>
              <w:t>11.7</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bCs/>
                <w:noProof/>
                <w:sz w:val="22"/>
                <w:szCs w:val="22"/>
              </w:rPr>
              <w:t>Requisitos de Estrutura</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_Toc22564435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22</w:t>
            </w:r>
            <w:r w:rsidR="00512F7B" w:rsidRPr="00FF471A">
              <w:rPr>
                <w:rFonts w:cstheme="minorHAnsi"/>
                <w:noProof/>
                <w:webHidden/>
                <w:sz w:val="22"/>
                <w:szCs w:val="22"/>
              </w:rPr>
              <w:fldChar w:fldCharType="end"/>
            </w:r>
          </w:hyperlink>
        </w:p>
        <w:p w14:paraId="68EFD05D" w14:textId="0358DE8C"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36" w:history="1">
            <w:r w:rsidR="00512F7B" w:rsidRPr="00FF471A">
              <w:rPr>
                <w:rStyle w:val="Hyperlink"/>
                <w:rFonts w:eastAsia="Verdana" w:cstheme="minorHAnsi"/>
                <w:bCs/>
                <w:noProof/>
                <w:sz w:val="22"/>
                <w:szCs w:val="22"/>
              </w:rPr>
              <w:t>11.8</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bCs/>
                <w:noProof/>
                <w:sz w:val="22"/>
                <w:szCs w:val="22"/>
              </w:rPr>
              <w:t>Requisitos de Recursos</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_Toc22564436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23</w:t>
            </w:r>
            <w:r w:rsidR="00512F7B" w:rsidRPr="00FF471A">
              <w:rPr>
                <w:rFonts w:cstheme="minorHAnsi"/>
                <w:noProof/>
                <w:webHidden/>
                <w:sz w:val="22"/>
                <w:szCs w:val="22"/>
              </w:rPr>
              <w:fldChar w:fldCharType="end"/>
            </w:r>
          </w:hyperlink>
        </w:p>
        <w:p w14:paraId="53195DE5" w14:textId="528BD34C" w:rsidR="00512F7B" w:rsidRPr="00FF471A" w:rsidRDefault="001F59D2" w:rsidP="008F2A8A">
          <w:pPr>
            <w:pStyle w:val="Sumrio2"/>
            <w:spacing w:before="0" w:line="360" w:lineRule="auto"/>
            <w:rPr>
              <w:rFonts w:eastAsiaTheme="minorEastAsia" w:cstheme="minorHAnsi"/>
              <w:i w:val="0"/>
              <w:iCs w:val="0"/>
              <w:noProof/>
              <w:sz w:val="22"/>
              <w:szCs w:val="22"/>
              <w:lang w:eastAsia="pt-BR"/>
            </w:rPr>
          </w:pPr>
          <w:hyperlink w:anchor="_Toc22564437" w:history="1">
            <w:r w:rsidR="00512F7B" w:rsidRPr="00FF471A">
              <w:rPr>
                <w:rStyle w:val="Hyperlink"/>
                <w:rFonts w:eastAsia="Verdana" w:cstheme="minorHAnsi"/>
                <w:bCs/>
                <w:noProof/>
                <w:sz w:val="22"/>
                <w:szCs w:val="22"/>
              </w:rPr>
              <w:t>11.9</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bCs/>
                <w:noProof/>
                <w:sz w:val="22"/>
                <w:szCs w:val="22"/>
              </w:rPr>
              <w:t>Requisitos de Processo</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_Toc22564437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23</w:t>
            </w:r>
            <w:r w:rsidR="00512F7B" w:rsidRPr="00FF471A">
              <w:rPr>
                <w:rFonts w:cstheme="minorHAnsi"/>
                <w:noProof/>
                <w:webHidden/>
                <w:sz w:val="22"/>
                <w:szCs w:val="22"/>
              </w:rPr>
              <w:fldChar w:fldCharType="end"/>
            </w:r>
          </w:hyperlink>
        </w:p>
        <w:p w14:paraId="0F33F96E" w14:textId="02FA27EB" w:rsidR="00512F7B" w:rsidRPr="00FF471A" w:rsidRDefault="001F59D2" w:rsidP="008F2A8A">
          <w:pPr>
            <w:pStyle w:val="Sumrio2"/>
            <w:spacing w:before="0" w:line="360" w:lineRule="auto"/>
            <w:rPr>
              <w:rFonts w:asciiTheme="majorHAnsi" w:eastAsiaTheme="minorEastAsia" w:hAnsiTheme="majorHAnsi" w:cstheme="majorHAnsi"/>
              <w:i w:val="0"/>
              <w:iCs w:val="0"/>
              <w:noProof/>
              <w:sz w:val="22"/>
              <w:szCs w:val="22"/>
              <w:lang w:eastAsia="pt-BR"/>
            </w:rPr>
          </w:pPr>
          <w:hyperlink w:anchor="_Toc22564438" w:history="1">
            <w:r w:rsidR="00512F7B" w:rsidRPr="00FF471A">
              <w:rPr>
                <w:rStyle w:val="Hyperlink"/>
                <w:rFonts w:eastAsia="Verdana" w:cstheme="minorHAnsi"/>
                <w:bCs/>
                <w:noProof/>
                <w:sz w:val="22"/>
                <w:szCs w:val="22"/>
              </w:rPr>
              <w:t>11.10</w:t>
            </w:r>
            <w:r w:rsidR="00512F7B" w:rsidRPr="00FF471A">
              <w:rPr>
                <w:rFonts w:eastAsiaTheme="minorEastAsia" w:cstheme="minorHAnsi"/>
                <w:i w:val="0"/>
                <w:iCs w:val="0"/>
                <w:noProof/>
                <w:sz w:val="22"/>
                <w:szCs w:val="22"/>
                <w:lang w:eastAsia="pt-BR"/>
              </w:rPr>
              <w:tab/>
            </w:r>
            <w:r w:rsidR="00512F7B" w:rsidRPr="00FF471A">
              <w:rPr>
                <w:rStyle w:val="Hyperlink"/>
                <w:rFonts w:eastAsia="Verdana" w:cstheme="minorHAnsi"/>
                <w:bCs/>
                <w:noProof/>
                <w:sz w:val="22"/>
                <w:szCs w:val="22"/>
              </w:rPr>
              <w:t>Requisitos do sistema de gestão</w:t>
            </w:r>
            <w:r w:rsidR="00512F7B" w:rsidRPr="00FF471A">
              <w:rPr>
                <w:rFonts w:cstheme="minorHAnsi"/>
                <w:noProof/>
                <w:webHidden/>
                <w:sz w:val="22"/>
                <w:szCs w:val="22"/>
              </w:rPr>
              <w:tab/>
            </w:r>
            <w:r w:rsidR="00512F7B" w:rsidRPr="00FF471A">
              <w:rPr>
                <w:rFonts w:cstheme="minorHAnsi"/>
                <w:noProof/>
                <w:webHidden/>
                <w:sz w:val="22"/>
                <w:szCs w:val="22"/>
              </w:rPr>
              <w:fldChar w:fldCharType="begin"/>
            </w:r>
            <w:r w:rsidR="00512F7B" w:rsidRPr="00FF471A">
              <w:rPr>
                <w:rFonts w:cstheme="minorHAnsi"/>
                <w:noProof/>
                <w:webHidden/>
                <w:sz w:val="22"/>
                <w:szCs w:val="22"/>
              </w:rPr>
              <w:instrText xml:space="preserve"> PAGEREF _Toc22564438 \h </w:instrText>
            </w:r>
            <w:r w:rsidR="00512F7B" w:rsidRPr="00FF471A">
              <w:rPr>
                <w:rFonts w:cstheme="minorHAnsi"/>
                <w:noProof/>
                <w:webHidden/>
                <w:sz w:val="22"/>
                <w:szCs w:val="22"/>
              </w:rPr>
            </w:r>
            <w:r w:rsidR="00512F7B" w:rsidRPr="00FF471A">
              <w:rPr>
                <w:rFonts w:cstheme="minorHAnsi"/>
                <w:noProof/>
                <w:webHidden/>
                <w:sz w:val="22"/>
                <w:szCs w:val="22"/>
              </w:rPr>
              <w:fldChar w:fldCharType="separate"/>
            </w:r>
            <w:r>
              <w:rPr>
                <w:rFonts w:cstheme="minorHAnsi"/>
                <w:noProof/>
                <w:webHidden/>
                <w:sz w:val="22"/>
                <w:szCs w:val="22"/>
              </w:rPr>
              <w:t>24</w:t>
            </w:r>
            <w:r w:rsidR="00512F7B" w:rsidRPr="00FF471A">
              <w:rPr>
                <w:rFonts w:cstheme="minorHAnsi"/>
                <w:noProof/>
                <w:webHidden/>
                <w:sz w:val="22"/>
                <w:szCs w:val="22"/>
              </w:rPr>
              <w:fldChar w:fldCharType="end"/>
            </w:r>
          </w:hyperlink>
        </w:p>
        <w:p w14:paraId="0DE32EC5" w14:textId="77777777" w:rsidR="004938AD" w:rsidRPr="002102FA" w:rsidRDefault="004938AD" w:rsidP="008F2A8A">
          <w:pPr>
            <w:spacing w:after="0" w:line="360" w:lineRule="auto"/>
            <w:rPr>
              <w:rFonts w:asciiTheme="majorHAnsi" w:hAnsiTheme="majorHAnsi" w:cstheme="majorHAnsi"/>
            </w:rPr>
          </w:pPr>
          <w:r w:rsidRPr="00FF471A">
            <w:rPr>
              <w:rFonts w:asciiTheme="majorHAnsi" w:hAnsiTheme="majorHAnsi" w:cstheme="majorHAnsi"/>
              <w:b/>
              <w:bCs/>
            </w:rPr>
            <w:fldChar w:fldCharType="end"/>
          </w:r>
        </w:p>
      </w:sdtContent>
    </w:sdt>
    <w:p w14:paraId="5F8600F3" w14:textId="77777777" w:rsidR="004938AD" w:rsidRPr="002102FA" w:rsidRDefault="004938AD" w:rsidP="008F2A8A">
      <w:pPr>
        <w:pStyle w:val="Corpodetexto"/>
        <w:spacing w:before="240" w:after="240" w:line="360" w:lineRule="auto"/>
        <w:rPr>
          <w:rFonts w:cstheme="majorHAnsi"/>
          <w:color w:val="333333"/>
          <w:sz w:val="22"/>
          <w:szCs w:val="22"/>
          <w:lang w:val="pt-BR"/>
        </w:rPr>
      </w:pPr>
    </w:p>
    <w:p w14:paraId="2F3C74FA" w14:textId="77777777" w:rsidR="004938AD" w:rsidRPr="002102FA" w:rsidRDefault="004938AD" w:rsidP="008F2A8A">
      <w:pPr>
        <w:pStyle w:val="Corpodetexto"/>
        <w:spacing w:before="240" w:after="240" w:line="360" w:lineRule="auto"/>
        <w:rPr>
          <w:rFonts w:cstheme="majorHAnsi"/>
          <w:color w:val="333333"/>
          <w:sz w:val="22"/>
          <w:szCs w:val="22"/>
          <w:lang w:val="pt-BR"/>
        </w:rPr>
      </w:pPr>
    </w:p>
    <w:p w14:paraId="3D6072B6" w14:textId="77777777" w:rsidR="004938AD" w:rsidRPr="002102FA" w:rsidRDefault="004938AD" w:rsidP="008F2A8A">
      <w:pPr>
        <w:pStyle w:val="Corpodetexto"/>
        <w:spacing w:before="240" w:after="240" w:line="360" w:lineRule="auto"/>
        <w:rPr>
          <w:rFonts w:cstheme="majorHAnsi"/>
          <w:color w:val="333333"/>
          <w:sz w:val="22"/>
          <w:szCs w:val="22"/>
          <w:lang w:val="pt-BR"/>
        </w:rPr>
      </w:pPr>
    </w:p>
    <w:p w14:paraId="243B479F" w14:textId="77777777" w:rsidR="00512B2D" w:rsidRPr="002102FA" w:rsidRDefault="00512B2D" w:rsidP="008F2A8A">
      <w:pPr>
        <w:pStyle w:val="Corpodetexto"/>
        <w:spacing w:before="240" w:after="240" w:line="360" w:lineRule="auto"/>
        <w:rPr>
          <w:rFonts w:cstheme="majorHAnsi"/>
          <w:color w:val="333333"/>
          <w:sz w:val="22"/>
          <w:szCs w:val="22"/>
          <w:lang w:val="pt-BR"/>
        </w:rPr>
      </w:pPr>
    </w:p>
    <w:p w14:paraId="5369F478" w14:textId="77777777" w:rsidR="00512B2D" w:rsidRPr="002102FA" w:rsidRDefault="00512B2D" w:rsidP="008F2A8A">
      <w:pPr>
        <w:pStyle w:val="Corpodetexto"/>
        <w:spacing w:before="240" w:after="240" w:line="360" w:lineRule="auto"/>
        <w:rPr>
          <w:rFonts w:cstheme="majorHAnsi"/>
          <w:color w:val="333333"/>
          <w:sz w:val="22"/>
          <w:szCs w:val="22"/>
          <w:lang w:val="pt-BR"/>
        </w:rPr>
      </w:pPr>
    </w:p>
    <w:p w14:paraId="381D8C6E" w14:textId="77777777" w:rsidR="004938AD" w:rsidRDefault="004938AD" w:rsidP="008F2A8A">
      <w:pPr>
        <w:pStyle w:val="Corpodetexto"/>
        <w:spacing w:before="240" w:after="240" w:line="360" w:lineRule="auto"/>
        <w:rPr>
          <w:rFonts w:cstheme="majorHAnsi"/>
          <w:color w:val="333333"/>
          <w:sz w:val="22"/>
          <w:szCs w:val="22"/>
          <w:lang w:val="pt-BR"/>
        </w:rPr>
      </w:pPr>
      <w:bookmarkStart w:id="1" w:name="_Toc427916371"/>
    </w:p>
    <w:p w14:paraId="7EFD15EC" w14:textId="77777777" w:rsidR="008F2A8A" w:rsidRDefault="008F2A8A" w:rsidP="008F2A8A">
      <w:pPr>
        <w:pStyle w:val="Corpodetexto"/>
        <w:spacing w:before="240" w:after="240" w:line="360" w:lineRule="auto"/>
        <w:rPr>
          <w:rFonts w:cstheme="majorHAnsi"/>
          <w:color w:val="333333"/>
          <w:sz w:val="22"/>
          <w:szCs w:val="22"/>
          <w:lang w:val="pt-BR"/>
        </w:rPr>
      </w:pPr>
    </w:p>
    <w:p w14:paraId="4E3EF066" w14:textId="77777777" w:rsidR="008F2A8A" w:rsidRPr="002102FA" w:rsidRDefault="008F2A8A" w:rsidP="008F2A8A">
      <w:pPr>
        <w:pStyle w:val="Corpodetexto"/>
        <w:spacing w:before="240" w:after="240" w:line="360" w:lineRule="auto"/>
        <w:rPr>
          <w:rFonts w:cstheme="majorHAnsi"/>
          <w:color w:val="333333"/>
          <w:sz w:val="22"/>
          <w:szCs w:val="22"/>
          <w:lang w:val="pt-BR"/>
        </w:rPr>
      </w:pPr>
    </w:p>
    <w:p w14:paraId="60A12968" w14:textId="77777777" w:rsidR="004938AD" w:rsidRPr="002102FA" w:rsidRDefault="004938AD" w:rsidP="008F2A8A">
      <w:pPr>
        <w:spacing w:before="240" w:after="240" w:line="360" w:lineRule="auto"/>
        <w:jc w:val="center"/>
        <w:rPr>
          <w:rFonts w:asciiTheme="majorHAnsi" w:hAnsiTheme="majorHAnsi" w:cstheme="majorHAnsi"/>
        </w:rPr>
      </w:pPr>
      <w:r w:rsidRPr="002102FA">
        <w:rPr>
          <w:rFonts w:asciiTheme="majorHAnsi" w:hAnsiTheme="majorHAnsi" w:cstheme="majorHAnsi"/>
          <w:b/>
          <w:color w:val="0066B2"/>
          <w:sz w:val="32"/>
          <w:szCs w:val="32"/>
        </w:rPr>
        <w:t>Apresentação</w:t>
      </w:r>
      <w:bookmarkEnd w:id="1"/>
    </w:p>
    <w:p w14:paraId="21BE65A2" w14:textId="77777777" w:rsidR="004938AD" w:rsidRPr="002102FA" w:rsidRDefault="004938AD" w:rsidP="008F2A8A">
      <w:pPr>
        <w:spacing w:before="240" w:after="240" w:line="360" w:lineRule="auto"/>
        <w:jc w:val="center"/>
        <w:rPr>
          <w:rFonts w:asciiTheme="majorHAnsi" w:hAnsiTheme="majorHAnsi" w:cstheme="majorHAnsi"/>
          <w:color w:val="333366"/>
          <w:spacing w:val="-6"/>
        </w:rPr>
      </w:pPr>
    </w:p>
    <w:p w14:paraId="204DAC14" w14:textId="77777777" w:rsidR="004938AD" w:rsidRPr="002102FA" w:rsidRDefault="004938AD" w:rsidP="008F2A8A">
      <w:pPr>
        <w:pStyle w:val="Corpodetexto"/>
        <w:spacing w:before="240" w:after="240" w:line="360" w:lineRule="auto"/>
        <w:rPr>
          <w:rFonts w:cstheme="majorHAnsi"/>
          <w:color w:val="333333"/>
          <w:sz w:val="22"/>
          <w:szCs w:val="22"/>
          <w:lang w:val="pt-BR"/>
        </w:rPr>
      </w:pPr>
      <w:r w:rsidRPr="002102FA">
        <w:rPr>
          <w:rFonts w:cstheme="majorHAnsi"/>
          <w:color w:val="333333"/>
          <w:sz w:val="22"/>
          <w:szCs w:val="22"/>
          <w:lang w:val="pt-BR"/>
        </w:rPr>
        <w:t>Olá! Seja muito bem-vindo à primeira aula do curso!</w:t>
      </w:r>
    </w:p>
    <w:p w14:paraId="52BAA49D" w14:textId="134E1B61" w:rsidR="006C444B" w:rsidRPr="002102FA" w:rsidRDefault="006C444B" w:rsidP="008F2A8A">
      <w:pPr>
        <w:pStyle w:val="Corpodetexto"/>
        <w:spacing w:before="240" w:after="240" w:line="360" w:lineRule="auto"/>
        <w:rPr>
          <w:rFonts w:cstheme="majorHAnsi"/>
          <w:color w:val="333333"/>
          <w:sz w:val="22"/>
          <w:szCs w:val="22"/>
          <w:lang w:val="pt-BR"/>
        </w:rPr>
      </w:pPr>
      <w:r w:rsidRPr="002102FA">
        <w:rPr>
          <w:rFonts w:cstheme="majorHAnsi"/>
          <w:color w:val="333333"/>
          <w:sz w:val="22"/>
          <w:szCs w:val="22"/>
          <w:lang w:val="pt-BR"/>
        </w:rPr>
        <w:t xml:space="preserve">Na aula passada vimos o que é uma calibração, como ela é realizada na prática, e o motivo de se calibrar um instrumento de medição. Vimos também o que é a rastreabilidade metrológica e como definir os fornecedores de calibração mais adequados a cada caso. Além </w:t>
      </w:r>
      <w:r w:rsidR="006A2ECB" w:rsidRPr="002102FA">
        <w:rPr>
          <w:rFonts w:cstheme="majorHAnsi"/>
          <w:color w:val="333333"/>
          <w:sz w:val="22"/>
          <w:szCs w:val="22"/>
          <w:lang w:val="pt-BR"/>
        </w:rPr>
        <w:t>disso, falamos sobre c</w:t>
      </w:r>
      <w:r w:rsidRPr="002102FA">
        <w:rPr>
          <w:rFonts w:cstheme="majorHAnsi"/>
          <w:color w:val="333333"/>
          <w:sz w:val="22"/>
          <w:szCs w:val="22"/>
          <w:lang w:val="pt-BR"/>
        </w:rPr>
        <w:t>ritérios para manutenção da confiabilidade metrológica e certificados de calibração.</w:t>
      </w:r>
    </w:p>
    <w:p w14:paraId="50B938BC" w14:textId="263EFA52" w:rsidR="004938AD" w:rsidRPr="002102FA" w:rsidRDefault="004938AD" w:rsidP="008F2A8A">
      <w:pPr>
        <w:pStyle w:val="Corpodetexto"/>
        <w:spacing w:before="240" w:after="240" w:line="360" w:lineRule="auto"/>
        <w:rPr>
          <w:rFonts w:cstheme="majorHAnsi"/>
          <w:color w:val="333333"/>
          <w:sz w:val="22"/>
          <w:szCs w:val="22"/>
          <w:lang w:val="pt-BR"/>
        </w:rPr>
      </w:pPr>
      <w:r w:rsidRPr="002102FA">
        <w:rPr>
          <w:rFonts w:cstheme="majorHAnsi"/>
          <w:color w:val="333333"/>
          <w:sz w:val="22"/>
          <w:szCs w:val="22"/>
          <w:lang w:val="pt-BR"/>
        </w:rPr>
        <w:t>Nessa aula abordar</w:t>
      </w:r>
      <w:r w:rsidR="00AB638D" w:rsidRPr="002102FA">
        <w:rPr>
          <w:rFonts w:cstheme="majorHAnsi"/>
          <w:color w:val="333333"/>
          <w:sz w:val="22"/>
          <w:szCs w:val="22"/>
          <w:lang w:val="pt-BR"/>
        </w:rPr>
        <w:t>emos</w:t>
      </w:r>
      <w:r w:rsidRPr="002102FA">
        <w:rPr>
          <w:rFonts w:cstheme="majorHAnsi"/>
          <w:color w:val="333333"/>
          <w:sz w:val="22"/>
          <w:szCs w:val="22"/>
          <w:lang w:val="pt-BR"/>
        </w:rPr>
        <w:t xml:space="preserve"> conceitos ligados à </w:t>
      </w:r>
      <w:r w:rsidR="006B2EBE" w:rsidRPr="002102FA">
        <w:rPr>
          <w:rFonts w:cstheme="majorHAnsi"/>
          <w:color w:val="333333"/>
          <w:sz w:val="22"/>
          <w:szCs w:val="22"/>
          <w:lang w:val="pt-BR"/>
        </w:rPr>
        <w:t>Sistemas de Gestão da Qualidade</w:t>
      </w:r>
      <w:r w:rsidR="00AB638D" w:rsidRPr="002102FA">
        <w:rPr>
          <w:rFonts w:cstheme="majorHAnsi"/>
          <w:color w:val="333333"/>
          <w:sz w:val="22"/>
          <w:szCs w:val="22"/>
          <w:lang w:val="pt-BR"/>
        </w:rPr>
        <w:t xml:space="preserve"> – </w:t>
      </w:r>
      <w:proofErr w:type="spellStart"/>
      <w:r w:rsidR="00AB638D" w:rsidRPr="002102FA">
        <w:rPr>
          <w:rFonts w:cstheme="majorHAnsi"/>
          <w:color w:val="333333"/>
          <w:sz w:val="22"/>
          <w:szCs w:val="22"/>
          <w:lang w:val="pt-BR"/>
        </w:rPr>
        <w:t>SGQs</w:t>
      </w:r>
      <w:proofErr w:type="spellEnd"/>
      <w:r w:rsidR="00AB638D" w:rsidRPr="002102FA">
        <w:rPr>
          <w:rFonts w:cstheme="majorHAnsi"/>
          <w:color w:val="333333"/>
          <w:sz w:val="22"/>
          <w:szCs w:val="22"/>
          <w:lang w:val="pt-BR"/>
        </w:rPr>
        <w:t xml:space="preserve"> e</w:t>
      </w:r>
      <w:r w:rsidR="006B2EBE" w:rsidRPr="002102FA">
        <w:rPr>
          <w:rFonts w:cstheme="majorHAnsi"/>
          <w:color w:val="333333"/>
          <w:sz w:val="22"/>
          <w:szCs w:val="22"/>
          <w:lang w:val="pt-BR"/>
        </w:rPr>
        <w:t xml:space="preserve"> </w:t>
      </w:r>
      <w:r w:rsidR="00AB638D" w:rsidRPr="002102FA">
        <w:rPr>
          <w:rFonts w:cstheme="majorHAnsi"/>
          <w:color w:val="333333"/>
          <w:sz w:val="22"/>
          <w:szCs w:val="22"/>
          <w:lang w:val="pt-BR"/>
        </w:rPr>
        <w:t>conheceremos</w:t>
      </w:r>
      <w:r w:rsidR="006B2EBE" w:rsidRPr="002102FA">
        <w:rPr>
          <w:rFonts w:cstheme="majorHAnsi"/>
          <w:color w:val="333333"/>
          <w:sz w:val="22"/>
          <w:szCs w:val="22"/>
          <w:lang w:val="pt-BR"/>
        </w:rPr>
        <w:t xml:space="preserve"> um pouco as Normas mais utilizadas para implantação de </w:t>
      </w:r>
      <w:proofErr w:type="spellStart"/>
      <w:r w:rsidR="006B2EBE" w:rsidRPr="002102FA">
        <w:rPr>
          <w:rFonts w:cstheme="majorHAnsi"/>
          <w:color w:val="333333"/>
          <w:sz w:val="22"/>
          <w:szCs w:val="22"/>
          <w:lang w:val="pt-BR"/>
        </w:rPr>
        <w:t>SGQs</w:t>
      </w:r>
      <w:proofErr w:type="spellEnd"/>
      <w:r w:rsidR="006B2EBE" w:rsidRPr="002102FA">
        <w:rPr>
          <w:rFonts w:cstheme="majorHAnsi"/>
          <w:color w:val="333333"/>
          <w:sz w:val="22"/>
          <w:szCs w:val="22"/>
          <w:lang w:val="pt-BR"/>
        </w:rPr>
        <w:t xml:space="preserve"> em processos que contenham controles metrológicos, bem como para laboratórios de fato.</w:t>
      </w:r>
    </w:p>
    <w:p w14:paraId="6CC25644" w14:textId="77777777" w:rsidR="004938AD" w:rsidRPr="002102FA" w:rsidRDefault="004938AD" w:rsidP="008F2A8A">
      <w:pPr>
        <w:pStyle w:val="Corpodetexto"/>
        <w:spacing w:before="240" w:after="240" w:line="360" w:lineRule="auto"/>
        <w:ind w:right="172"/>
        <w:rPr>
          <w:rFonts w:cstheme="majorHAnsi"/>
          <w:color w:val="333333"/>
          <w:sz w:val="22"/>
          <w:szCs w:val="22"/>
          <w:lang w:val="pt-BR"/>
        </w:rPr>
      </w:pPr>
    </w:p>
    <w:p w14:paraId="767463F7" w14:textId="77777777" w:rsidR="004938AD" w:rsidRPr="002102FA" w:rsidRDefault="004938AD" w:rsidP="008F2A8A">
      <w:pPr>
        <w:spacing w:before="240" w:after="240" w:line="360" w:lineRule="auto"/>
        <w:jc w:val="both"/>
        <w:rPr>
          <w:rFonts w:asciiTheme="majorHAnsi" w:eastAsia="Verdana" w:hAnsiTheme="majorHAnsi" w:cstheme="majorHAnsi"/>
          <w:color w:val="333333"/>
        </w:rPr>
      </w:pPr>
      <w:r w:rsidRPr="002102FA">
        <w:rPr>
          <w:rFonts w:asciiTheme="majorHAnsi" w:eastAsia="Verdana" w:hAnsiTheme="majorHAnsi" w:cstheme="majorHAnsi"/>
          <w:color w:val="333333"/>
        </w:rPr>
        <w:t>Bons estudos!</w:t>
      </w:r>
    </w:p>
    <w:p w14:paraId="1F9A0C55" w14:textId="77777777" w:rsidR="004938AD" w:rsidRPr="002102FA" w:rsidRDefault="004938AD" w:rsidP="008F2A8A">
      <w:pPr>
        <w:spacing w:before="240" w:after="240" w:line="360" w:lineRule="auto"/>
        <w:rPr>
          <w:rFonts w:asciiTheme="majorHAnsi" w:eastAsia="Verdana" w:hAnsiTheme="majorHAnsi" w:cstheme="majorHAnsi"/>
        </w:rPr>
      </w:pPr>
    </w:p>
    <w:p w14:paraId="2FB0B437" w14:textId="77777777" w:rsidR="004938AD" w:rsidRPr="002102FA" w:rsidRDefault="004938AD" w:rsidP="008F2A8A">
      <w:pPr>
        <w:spacing w:before="240" w:after="240" w:line="360" w:lineRule="auto"/>
        <w:rPr>
          <w:rFonts w:asciiTheme="majorHAnsi" w:eastAsia="Verdana" w:hAnsiTheme="majorHAnsi" w:cstheme="majorHAnsi"/>
        </w:rPr>
      </w:pPr>
    </w:p>
    <w:p w14:paraId="28FE693D" w14:textId="77777777" w:rsidR="004938AD" w:rsidRPr="002102FA" w:rsidRDefault="004938AD" w:rsidP="008F2A8A">
      <w:pPr>
        <w:spacing w:before="240" w:after="240" w:line="360" w:lineRule="auto"/>
        <w:rPr>
          <w:rFonts w:asciiTheme="majorHAnsi" w:eastAsia="Verdana" w:hAnsiTheme="majorHAnsi" w:cstheme="majorHAnsi"/>
        </w:rPr>
      </w:pPr>
    </w:p>
    <w:p w14:paraId="43181909" w14:textId="77777777" w:rsidR="004938AD" w:rsidRPr="002102FA" w:rsidRDefault="004938AD" w:rsidP="008F2A8A">
      <w:pPr>
        <w:spacing w:before="240" w:after="240" w:line="360" w:lineRule="auto"/>
        <w:rPr>
          <w:rFonts w:asciiTheme="majorHAnsi" w:eastAsia="Verdana" w:hAnsiTheme="majorHAnsi" w:cstheme="majorHAnsi"/>
        </w:rPr>
      </w:pPr>
    </w:p>
    <w:p w14:paraId="0E8539E0" w14:textId="77777777" w:rsidR="004938AD" w:rsidRPr="002102FA" w:rsidRDefault="004938AD" w:rsidP="008F2A8A">
      <w:pPr>
        <w:spacing w:before="240" w:after="240" w:line="360" w:lineRule="auto"/>
        <w:rPr>
          <w:rFonts w:asciiTheme="majorHAnsi" w:eastAsia="Verdana" w:hAnsiTheme="majorHAnsi" w:cstheme="majorHAnsi"/>
        </w:rPr>
      </w:pPr>
    </w:p>
    <w:p w14:paraId="280A046B" w14:textId="77777777" w:rsidR="004938AD" w:rsidRPr="002102FA" w:rsidRDefault="004938AD" w:rsidP="008F2A8A">
      <w:pPr>
        <w:spacing w:before="240" w:after="240" w:line="360" w:lineRule="auto"/>
        <w:rPr>
          <w:rFonts w:asciiTheme="majorHAnsi" w:eastAsia="Verdana" w:hAnsiTheme="majorHAnsi" w:cstheme="majorHAnsi"/>
        </w:rPr>
      </w:pPr>
    </w:p>
    <w:p w14:paraId="23583FA2" w14:textId="77777777" w:rsidR="004938AD" w:rsidRPr="002102FA" w:rsidRDefault="004938AD" w:rsidP="008F2A8A">
      <w:pPr>
        <w:spacing w:before="240" w:after="240" w:line="360" w:lineRule="auto"/>
        <w:rPr>
          <w:rFonts w:asciiTheme="majorHAnsi" w:eastAsia="Verdana" w:hAnsiTheme="majorHAnsi" w:cstheme="majorHAnsi"/>
        </w:rPr>
      </w:pPr>
    </w:p>
    <w:p w14:paraId="1A30B7D8" w14:textId="77777777" w:rsidR="00974C69" w:rsidRPr="002102FA" w:rsidRDefault="00974C69" w:rsidP="008F2A8A">
      <w:pPr>
        <w:pStyle w:val="Ttulo1"/>
        <w:spacing w:line="360" w:lineRule="auto"/>
        <w:rPr>
          <w:rFonts w:eastAsia="Verdana"/>
        </w:rPr>
      </w:pPr>
      <w:bookmarkStart w:id="2" w:name="_Toc8656695"/>
      <w:bookmarkStart w:id="3" w:name="_Toc22564396"/>
      <w:bookmarkEnd w:id="0"/>
      <w:r w:rsidRPr="002102FA">
        <w:rPr>
          <w:rFonts w:eastAsia="Verdana"/>
        </w:rPr>
        <w:lastRenderedPageBreak/>
        <w:t>Sistema de Gestão da Qualidade. O que é?</w:t>
      </w:r>
      <w:bookmarkEnd w:id="2"/>
      <w:bookmarkEnd w:id="3"/>
    </w:p>
    <w:p w14:paraId="3B87F08D"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Antes de responder a esta pergunta, vamos fazer uma analogia...</w:t>
      </w:r>
    </w:p>
    <w:p w14:paraId="69243001"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Você já parou para pensar na semelhança de uma empresa com uma escola de samba?</w:t>
      </w:r>
    </w:p>
    <w:p w14:paraId="2C528DF3"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drawing>
          <wp:anchor distT="0" distB="0" distL="114300" distR="114300" simplePos="0" relativeHeight="251673600" behindDoc="0" locked="0" layoutInCell="1" allowOverlap="1" wp14:anchorId="69A1C552" wp14:editId="7E1BC350">
            <wp:simplePos x="0" y="0"/>
            <wp:positionH relativeFrom="margin">
              <wp:align>left</wp:align>
            </wp:positionH>
            <wp:positionV relativeFrom="paragraph">
              <wp:posOffset>6985</wp:posOffset>
            </wp:positionV>
            <wp:extent cx="2857500" cy="193230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65100" cy="1938042"/>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hAnsiTheme="majorHAnsi" w:cstheme="majorHAnsi"/>
        </w:rPr>
        <w:t>Então pense o seguinte...</w:t>
      </w:r>
    </w:p>
    <w:p w14:paraId="761C7938"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Uma escola de samba é composta por várias alas e cada uma delas tem o seu papel e sua importância para que o conjunto fique harmônico. Certo?</w:t>
      </w:r>
    </w:p>
    <w:p w14:paraId="3D63404C"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 xml:space="preserve">Agora vamos pensar em um desfile dessa escola de samba? </w:t>
      </w:r>
    </w:p>
    <w:p w14:paraId="23A66D44"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 xml:space="preserve">A escola pode desfilar com um som mecânico, mas quando isso acontece, não há alguém coordenando, dando o ritmo dos passos, das alas e consequentemente do desfile. Isso pode fazer com que o resultado final do não seja tão bom quanto o esperado. </w:t>
      </w:r>
    </w:p>
    <w:p w14:paraId="42BA9262"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O mesmo acontece quando uma empresa não possui um sistema de gestão da qualidade. Os setores e departamentos funcionam, mas não existe um ritmo único para todos seguirem. Cada um segue seu próprio ritmo. Pode ser que dê certo</w:t>
      </w:r>
      <w:proofErr w:type="gramStart"/>
      <w:r w:rsidRPr="002102FA">
        <w:rPr>
          <w:rFonts w:asciiTheme="majorHAnsi" w:hAnsiTheme="majorHAnsi" w:cstheme="majorHAnsi"/>
        </w:rPr>
        <w:t>...</w:t>
      </w:r>
      <w:proofErr w:type="gramEnd"/>
      <w:r w:rsidRPr="002102FA">
        <w:rPr>
          <w:rFonts w:asciiTheme="majorHAnsi" w:hAnsiTheme="majorHAnsi" w:cstheme="majorHAnsi"/>
        </w:rPr>
        <w:t xml:space="preserve"> Mas e quando não funciona?</w:t>
      </w:r>
    </w:p>
    <w:p w14:paraId="0A8E9ACA"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Voltando ao exemplo do desfile... E se substituíssemos o som mecânico por uma ala de bateria e seu mestre de bateria?</w:t>
      </w:r>
    </w:p>
    <w:p w14:paraId="1BD4DB0D"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Essa ala ditaria o ritmo do desfile, fazendo com que todas as outras alas andem no mesmo ritmo e o desfile ocorra da melhor maneira possível. Certo?</w:t>
      </w:r>
    </w:p>
    <w:p w14:paraId="4FE446E1"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A função de um sistema de gestão na empresa é a mesma da bateria na escola de samba. O sistema permitirá que os diversos setores tratem os seus processos de maneira homogênea.</w:t>
      </w:r>
    </w:p>
    <w:p w14:paraId="038018AF"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Ainda neste contexto, os jurados fazem o mesmo papel de uma auditoria em um sistema de gestão. Enquanto eles avaliam a harmonia do desfile, verificando se todas as alas estão no mesmo ritmo e se não há espaços grandes separando-as, as auditorias nos sistemas de gestão verificam se todas as etapas dos processos estão sendo seguidas da maneira correta.</w:t>
      </w:r>
    </w:p>
    <w:p w14:paraId="643F971D"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A busca pela melhoria contínua reflete diretamente na harmonia das organizações. Detectar problemas e buscar resolvê-los pode ser o fator chave para alcançar sucesso e se manter vivo em um mercado tão competitivo como o que vivemos.</w:t>
      </w:r>
    </w:p>
    <w:p w14:paraId="76950D72" w14:textId="77777777" w:rsidR="00974C69" w:rsidRPr="002102FA" w:rsidRDefault="00974C69" w:rsidP="008F2A8A">
      <w:pPr>
        <w:spacing w:before="240" w:after="240" w:line="360" w:lineRule="auto"/>
        <w:jc w:val="both"/>
        <w:rPr>
          <w:rFonts w:asciiTheme="majorHAnsi" w:hAnsiTheme="majorHAnsi" w:cstheme="majorHAnsi"/>
          <w:noProof/>
          <w:lang w:eastAsia="pt-BR"/>
        </w:rPr>
      </w:pPr>
      <w:r w:rsidRPr="002102FA">
        <w:rPr>
          <w:rFonts w:asciiTheme="majorHAnsi" w:hAnsiTheme="majorHAnsi" w:cstheme="majorHAnsi"/>
        </w:rPr>
        <w:lastRenderedPageBreak/>
        <w:t>O Sistema de gestão da qualidade é uma ferramenta essencial, pois, nesse contexto comparativo, fará o papel de uma bateria de escola de samba, ditando o ritmo e fazendo com que a harmonia entre as alas aconteça...</w:t>
      </w:r>
      <w:r w:rsidRPr="002102FA">
        <w:rPr>
          <w:rFonts w:asciiTheme="majorHAnsi" w:hAnsiTheme="majorHAnsi" w:cstheme="majorHAnsi"/>
          <w:noProof/>
          <w:lang w:eastAsia="pt-BR"/>
        </w:rPr>
        <w:t xml:space="preserve"> </w:t>
      </w:r>
    </w:p>
    <w:p w14:paraId="4F31CD6B"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t>Agora você consegue perceber o diferencial de se ter um Sistema de Gestão implementado?</w:t>
      </w:r>
    </w:p>
    <w:p w14:paraId="44A25737"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drawing>
          <wp:anchor distT="0" distB="0" distL="114300" distR="114300" simplePos="0" relativeHeight="251674624" behindDoc="0" locked="0" layoutInCell="1" allowOverlap="1" wp14:anchorId="0A20C848" wp14:editId="26B01B25">
            <wp:simplePos x="0" y="0"/>
            <wp:positionH relativeFrom="margin">
              <wp:align>left</wp:align>
            </wp:positionH>
            <wp:positionV relativeFrom="paragraph">
              <wp:posOffset>337820</wp:posOffset>
            </wp:positionV>
            <wp:extent cx="2745740" cy="157162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45740" cy="1571625"/>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hAnsiTheme="majorHAnsi" w:cstheme="majorHAnsi"/>
        </w:rPr>
        <w:t>Então vamos começar o conteúdo definindo o que é um Sistema de Gestão...</w:t>
      </w:r>
    </w:p>
    <w:p w14:paraId="22F8AE8D"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Sistema de Gestão da Qualidade (SGQ) nada mais é do que uma ferramenta que possibilita o controle e a padronização dos processos e permite avaliar a eficácia do trabalho realizado. </w:t>
      </w:r>
    </w:p>
    <w:p w14:paraId="394D1B55"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Essa ferramenta funciona como uma engrenagem que busca atender à política da qualidade e os objetivos da empresa. Seu foco é satisfação do cliente e na busca da melhoria contínua dos processos.</w:t>
      </w:r>
    </w:p>
    <w:p w14:paraId="5E1E69FD"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D</w:t>
      </w:r>
      <w:r w:rsidRPr="002102FA">
        <w:rPr>
          <w:rFonts w:asciiTheme="majorHAnsi" w:hAnsiTheme="majorHAnsi" w:cstheme="majorHAnsi"/>
        </w:rPr>
        <w:t xml:space="preserve">evido ao reconhecimento do mercado mundial e a credibilidade que proporciona a produtos e serviços, </w:t>
      </w:r>
      <w:r w:rsidRPr="002102FA">
        <w:rPr>
          <w:rFonts w:asciiTheme="majorHAnsi" w:eastAsia="Verdana" w:hAnsiTheme="majorHAnsi" w:cstheme="majorHAnsi"/>
        </w:rPr>
        <w:t xml:space="preserve">a qualidade cada vez mais se torna um fator crucial para a sobrevivência de qualquer organização. Inclusive, em muitas áreas, a certificação ou acreditação é um fator compulsório, ou seja, nestes casos, só conseguem prestar serviços as empresas que possuírem um sistema de gestão da qualidade já implantado. Na área laboratorial acontece o mesmo. Cada vez mais é perceptível o aumento no número de laboratórios com um sistema de gestão da qualidade estabelecido. </w:t>
      </w:r>
    </w:p>
    <w:p w14:paraId="4FD4EE25"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Nosso curso abordará a implantação da </w:t>
      </w:r>
      <w:hyperlink r:id="rId12" w:history="1">
        <w:r w:rsidRPr="002102FA">
          <w:rPr>
            <w:rStyle w:val="Hyperlink"/>
            <w:rFonts w:asciiTheme="majorHAnsi" w:eastAsia="Verdana" w:hAnsiTheme="majorHAnsi" w:cstheme="majorHAnsi"/>
          </w:rPr>
          <w:t>NBR ISO/IEC 17025</w:t>
        </w:r>
      </w:hyperlink>
      <w:r w:rsidRPr="002102FA">
        <w:rPr>
          <w:rFonts w:asciiTheme="majorHAnsi" w:eastAsia="Verdana" w:hAnsiTheme="majorHAnsi" w:cstheme="majorHAnsi"/>
        </w:rPr>
        <w:t xml:space="preserve"> em Laboratórios de Ensaio e Calibração, mas antes, é importante que vocês entendam alguns conceitos e siglas utilizadas nesse meio.</w:t>
      </w:r>
    </w:p>
    <w:p w14:paraId="62D558D7" w14:textId="2DBE1B41" w:rsidR="008F2A8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Vamos lá?!</w:t>
      </w:r>
    </w:p>
    <w:p w14:paraId="71285CB5" w14:textId="77777777" w:rsidR="008F2A8A" w:rsidRPr="002102FA" w:rsidRDefault="008F2A8A" w:rsidP="008F2A8A">
      <w:pPr>
        <w:spacing w:before="240" w:after="240" w:line="360" w:lineRule="auto"/>
        <w:jc w:val="both"/>
        <w:rPr>
          <w:rFonts w:asciiTheme="majorHAnsi" w:eastAsia="Verdana" w:hAnsiTheme="majorHAnsi" w:cstheme="majorHAnsi"/>
        </w:rPr>
      </w:pPr>
    </w:p>
    <w:p w14:paraId="1EE2D3C1" w14:textId="77777777" w:rsidR="00974C69" w:rsidRPr="002102FA" w:rsidRDefault="00974C69" w:rsidP="008F2A8A">
      <w:pPr>
        <w:pStyle w:val="Ttulo1"/>
        <w:spacing w:line="360" w:lineRule="auto"/>
        <w:rPr>
          <w:rFonts w:eastAsia="Verdana"/>
        </w:rPr>
      </w:pPr>
      <w:bookmarkStart w:id="4" w:name="_Toc8656696"/>
      <w:bookmarkStart w:id="5" w:name="_Toc22564397"/>
      <w:r w:rsidRPr="002102FA">
        <w:rPr>
          <w:rFonts w:eastAsia="Verdana"/>
        </w:rPr>
        <w:t>Fundamentos de Gestão da Qualidade</w:t>
      </w:r>
      <w:bookmarkEnd w:id="4"/>
      <w:bookmarkEnd w:id="5"/>
    </w:p>
    <w:p w14:paraId="7EE255F2"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Antes de falarmos em fundamentos da gestão da qualidade, é importante diferenciamos a norma ISO 9000 da ISO 9001. Você sabe qual a diferença entre estas normas?</w:t>
      </w:r>
    </w:p>
    <w:p w14:paraId="4C082604"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hAnsiTheme="majorHAnsi" w:cstheme="majorHAnsi"/>
          <w:noProof/>
          <w:lang w:eastAsia="pt-BR"/>
        </w:rPr>
        <w:lastRenderedPageBreak/>
        <w:drawing>
          <wp:anchor distT="0" distB="0" distL="114300" distR="114300" simplePos="0" relativeHeight="251675648" behindDoc="0" locked="0" layoutInCell="1" allowOverlap="1" wp14:anchorId="4D0E1BA1" wp14:editId="3146CA61">
            <wp:simplePos x="0" y="0"/>
            <wp:positionH relativeFrom="column">
              <wp:posOffset>66675</wp:posOffset>
            </wp:positionH>
            <wp:positionV relativeFrom="paragraph">
              <wp:posOffset>48895</wp:posOffset>
            </wp:positionV>
            <wp:extent cx="2495550" cy="1695450"/>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95550" cy="1695450"/>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eastAsia="Verdana" w:hAnsiTheme="majorHAnsi" w:cstheme="majorHAnsi"/>
        </w:rPr>
        <w:t xml:space="preserve"> A </w:t>
      </w:r>
      <w:hyperlink r:id="rId14" w:history="1">
        <w:r w:rsidRPr="002102FA">
          <w:rPr>
            <w:rStyle w:val="Hyperlink"/>
            <w:rFonts w:asciiTheme="majorHAnsi" w:eastAsia="Verdana" w:hAnsiTheme="majorHAnsi" w:cstheme="majorHAnsi"/>
            <w:b/>
          </w:rPr>
          <w:t>ISO 9001</w:t>
        </w:r>
      </w:hyperlink>
      <w:r w:rsidRPr="002102FA">
        <w:rPr>
          <w:rFonts w:asciiTheme="majorHAnsi" w:eastAsia="Verdana" w:hAnsiTheme="majorHAnsi" w:cstheme="majorHAnsi"/>
        </w:rPr>
        <w:t xml:space="preserve"> é a norma que conhecemos para a </w:t>
      </w:r>
      <w:r w:rsidRPr="002102FA">
        <w:rPr>
          <w:rFonts w:asciiTheme="majorHAnsi" w:eastAsia="Verdana" w:hAnsiTheme="majorHAnsi" w:cstheme="majorHAnsi"/>
          <w:b/>
        </w:rPr>
        <w:t>certificação da qualidade de um processo</w:t>
      </w:r>
      <w:r w:rsidRPr="002102FA">
        <w:rPr>
          <w:rFonts w:asciiTheme="majorHAnsi" w:eastAsia="Verdana" w:hAnsiTheme="majorHAnsi" w:cstheme="majorHAnsi"/>
        </w:rPr>
        <w:t xml:space="preserve">. É nela que estão </w:t>
      </w:r>
      <w:r w:rsidRPr="002102FA">
        <w:rPr>
          <w:rFonts w:asciiTheme="majorHAnsi" w:eastAsia="Verdana" w:hAnsiTheme="majorHAnsi" w:cstheme="majorHAnsi"/>
          <w:b/>
        </w:rPr>
        <w:t>determinados os requisitos para sistemas de gestão da qualidade</w:t>
      </w:r>
      <w:r w:rsidRPr="002102FA">
        <w:rPr>
          <w:rFonts w:asciiTheme="majorHAnsi" w:eastAsia="Verdana" w:hAnsiTheme="majorHAnsi" w:cstheme="majorHAnsi"/>
        </w:rPr>
        <w:t xml:space="preserve"> nas organizações. Sua versão mais recente é a de 2015.</w:t>
      </w:r>
    </w:p>
    <w:p w14:paraId="6FA74017"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Já a </w:t>
      </w:r>
      <w:r w:rsidRPr="002102FA">
        <w:rPr>
          <w:rFonts w:asciiTheme="majorHAnsi" w:eastAsia="Verdana" w:hAnsiTheme="majorHAnsi" w:cstheme="majorHAnsi"/>
          <w:b/>
        </w:rPr>
        <w:t>ISO 9000</w:t>
      </w:r>
      <w:r w:rsidRPr="002102FA">
        <w:rPr>
          <w:rFonts w:asciiTheme="majorHAnsi" w:eastAsia="Verdana" w:hAnsiTheme="majorHAnsi" w:cstheme="majorHAnsi"/>
        </w:rPr>
        <w:t xml:space="preserve"> é a base para todo e qualquer sistema de gestão da qualidade, pois nela, estão descritos os </w:t>
      </w:r>
      <w:r w:rsidRPr="002102FA">
        <w:rPr>
          <w:rFonts w:asciiTheme="majorHAnsi" w:eastAsia="Verdana" w:hAnsiTheme="majorHAnsi" w:cstheme="majorHAnsi"/>
          <w:b/>
        </w:rPr>
        <w:t>princípios e fundamentos relacionados à qualidade</w:t>
      </w:r>
      <w:r w:rsidRPr="002102FA">
        <w:rPr>
          <w:rFonts w:asciiTheme="majorHAnsi" w:eastAsia="Verdana" w:hAnsiTheme="majorHAnsi" w:cstheme="majorHAnsi"/>
        </w:rPr>
        <w:t xml:space="preserve">, bem como a </w:t>
      </w:r>
      <w:r w:rsidRPr="002102FA">
        <w:rPr>
          <w:rFonts w:asciiTheme="majorHAnsi" w:eastAsia="Verdana" w:hAnsiTheme="majorHAnsi" w:cstheme="majorHAnsi"/>
          <w:b/>
        </w:rPr>
        <w:t>terminologia</w:t>
      </w:r>
      <w:r w:rsidRPr="002102FA">
        <w:rPr>
          <w:rFonts w:asciiTheme="majorHAnsi" w:eastAsia="Verdana" w:hAnsiTheme="majorHAnsi" w:cstheme="majorHAnsi"/>
        </w:rPr>
        <w:t xml:space="preserve"> utilizada na área. Sua versão mais recente também é de 2015.</w:t>
      </w:r>
    </w:p>
    <w:p w14:paraId="7E52ADFC"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Vamos nos aprofundar mais um pouquinho...</w:t>
      </w:r>
    </w:p>
    <w:p w14:paraId="6D99CBDF" w14:textId="77777777" w:rsidR="002102FA" w:rsidRPr="002102FA" w:rsidRDefault="002102FA" w:rsidP="008F2A8A">
      <w:pPr>
        <w:pStyle w:val="PargrafodaLista"/>
        <w:numPr>
          <w:ilvl w:val="0"/>
          <w:numId w:val="9"/>
        </w:numPr>
        <w:tabs>
          <w:tab w:val="left" w:pos="567"/>
        </w:tabs>
        <w:spacing w:before="240" w:after="240" w:line="360" w:lineRule="auto"/>
        <w:contextualSpacing w:val="0"/>
        <w:outlineLvl w:val="1"/>
        <w:rPr>
          <w:rFonts w:asciiTheme="majorHAnsi" w:eastAsiaTheme="majorEastAsia" w:hAnsiTheme="majorHAnsi" w:cstheme="majorHAnsi"/>
          <w:b/>
          <w:vanish/>
          <w:color w:val="2E74B5" w:themeColor="accent1" w:themeShade="BF"/>
          <w:sz w:val="28"/>
          <w:szCs w:val="26"/>
        </w:rPr>
      </w:pPr>
      <w:bookmarkStart w:id="6" w:name="_Toc8656697"/>
      <w:bookmarkStart w:id="7" w:name="_Toc22564398"/>
    </w:p>
    <w:p w14:paraId="6BEC37BA" w14:textId="77777777" w:rsidR="002102FA" w:rsidRPr="002102FA" w:rsidRDefault="002102FA" w:rsidP="008F2A8A">
      <w:pPr>
        <w:pStyle w:val="PargrafodaLista"/>
        <w:numPr>
          <w:ilvl w:val="0"/>
          <w:numId w:val="9"/>
        </w:numPr>
        <w:tabs>
          <w:tab w:val="left" w:pos="567"/>
        </w:tabs>
        <w:spacing w:before="240" w:after="240" w:line="360" w:lineRule="auto"/>
        <w:contextualSpacing w:val="0"/>
        <w:outlineLvl w:val="1"/>
        <w:rPr>
          <w:rFonts w:asciiTheme="majorHAnsi" w:eastAsiaTheme="majorEastAsia" w:hAnsiTheme="majorHAnsi" w:cstheme="majorHAnsi"/>
          <w:b/>
          <w:vanish/>
          <w:color w:val="2E74B5" w:themeColor="accent1" w:themeShade="BF"/>
          <w:sz w:val="28"/>
          <w:szCs w:val="26"/>
        </w:rPr>
      </w:pPr>
    </w:p>
    <w:p w14:paraId="44E991A9" w14:textId="402F26B1" w:rsidR="00974C69" w:rsidRPr="002102FA" w:rsidRDefault="00974C69" w:rsidP="008F2A8A">
      <w:pPr>
        <w:pStyle w:val="Ttulo2"/>
        <w:keepNext w:val="0"/>
        <w:keepLines w:val="0"/>
        <w:numPr>
          <w:ilvl w:val="1"/>
          <w:numId w:val="9"/>
        </w:numPr>
        <w:tabs>
          <w:tab w:val="left" w:pos="567"/>
        </w:tabs>
        <w:spacing w:before="240" w:after="240" w:line="360" w:lineRule="auto"/>
        <w:ind w:left="0" w:hanging="6"/>
        <w:rPr>
          <w:rFonts w:cstheme="majorHAnsi"/>
        </w:rPr>
      </w:pPr>
      <w:r w:rsidRPr="002102FA">
        <w:rPr>
          <w:rFonts w:cstheme="majorHAnsi"/>
        </w:rPr>
        <w:t>ISO 9000:2015</w:t>
      </w:r>
      <w:bookmarkEnd w:id="6"/>
      <w:bookmarkEnd w:id="7"/>
    </w:p>
    <w:p w14:paraId="4F85D6A3"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De acordo com a versão brasileira da </w:t>
      </w:r>
      <w:hyperlink r:id="rId15" w:history="1">
        <w:r w:rsidRPr="002102FA">
          <w:rPr>
            <w:rStyle w:val="Hyperlink"/>
            <w:rFonts w:asciiTheme="majorHAnsi" w:eastAsia="Verdana" w:hAnsiTheme="majorHAnsi" w:cstheme="majorHAnsi"/>
          </w:rPr>
          <w:t>ISO 9000:2015</w:t>
        </w:r>
      </w:hyperlink>
      <w:r w:rsidRPr="002102FA">
        <w:rPr>
          <w:rFonts w:asciiTheme="majorHAnsi" w:eastAsia="Verdana" w:hAnsiTheme="majorHAnsi" w:cstheme="majorHAnsi"/>
        </w:rPr>
        <w:t>, um Sistema de Gestão é um “</w:t>
      </w:r>
      <w:r w:rsidRPr="002102FA">
        <w:rPr>
          <w:rFonts w:asciiTheme="majorHAnsi" w:eastAsia="Verdana" w:hAnsiTheme="majorHAnsi" w:cstheme="majorHAnsi"/>
          <w:b/>
          <w:i/>
        </w:rPr>
        <w:t>Conjunto de elementos inter-relacionados ou interativos de uma organização para estabelecer políticas, objetivos e processos para alcançar esses objetivos</w:t>
      </w:r>
      <w:r w:rsidRPr="002102FA">
        <w:rPr>
          <w:rFonts w:asciiTheme="majorHAnsi" w:eastAsia="Verdana" w:hAnsiTheme="majorHAnsi" w:cstheme="majorHAnsi"/>
        </w:rPr>
        <w:t>”.</w:t>
      </w:r>
    </w:p>
    <w:p w14:paraId="5C8807AD"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A norma apresenta ainda os conceitos relacionados e os princípios de Gestão da Qualidade.</w:t>
      </w:r>
    </w:p>
    <w:p w14:paraId="699B573B"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Estes princípios estão definidos como:</w:t>
      </w:r>
    </w:p>
    <w:p w14:paraId="076E550B" w14:textId="77777777" w:rsidR="00974C69" w:rsidRPr="002102FA" w:rsidRDefault="00974C69" w:rsidP="008F2A8A">
      <w:pPr>
        <w:pStyle w:val="PargrafodaLista"/>
        <w:widowControl w:val="0"/>
        <w:numPr>
          <w:ilvl w:val="0"/>
          <w:numId w:val="6"/>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Foco no cliente;</w:t>
      </w:r>
    </w:p>
    <w:p w14:paraId="2EC13BF9" w14:textId="77777777" w:rsidR="00974C69" w:rsidRPr="002102FA" w:rsidRDefault="00974C69" w:rsidP="008F2A8A">
      <w:pPr>
        <w:pStyle w:val="PargrafodaLista"/>
        <w:widowControl w:val="0"/>
        <w:numPr>
          <w:ilvl w:val="0"/>
          <w:numId w:val="6"/>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Liderança;</w:t>
      </w:r>
    </w:p>
    <w:p w14:paraId="4626830B" w14:textId="77777777" w:rsidR="00974C69" w:rsidRPr="002102FA" w:rsidRDefault="00974C69" w:rsidP="008F2A8A">
      <w:pPr>
        <w:pStyle w:val="PargrafodaLista"/>
        <w:widowControl w:val="0"/>
        <w:numPr>
          <w:ilvl w:val="0"/>
          <w:numId w:val="6"/>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Engajamento das pessoas;</w:t>
      </w:r>
    </w:p>
    <w:p w14:paraId="4E7E10B1" w14:textId="77777777" w:rsidR="00974C69" w:rsidRPr="002102FA" w:rsidRDefault="00974C69" w:rsidP="008F2A8A">
      <w:pPr>
        <w:pStyle w:val="PargrafodaLista"/>
        <w:widowControl w:val="0"/>
        <w:numPr>
          <w:ilvl w:val="0"/>
          <w:numId w:val="6"/>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Abordagem de processo;</w:t>
      </w:r>
    </w:p>
    <w:p w14:paraId="55532C05" w14:textId="77777777" w:rsidR="00974C69" w:rsidRPr="002102FA" w:rsidRDefault="00974C69" w:rsidP="008F2A8A">
      <w:pPr>
        <w:pStyle w:val="PargrafodaLista"/>
        <w:widowControl w:val="0"/>
        <w:numPr>
          <w:ilvl w:val="0"/>
          <w:numId w:val="6"/>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Melhoria;</w:t>
      </w:r>
    </w:p>
    <w:p w14:paraId="72CC8DDC" w14:textId="77777777" w:rsidR="00974C69" w:rsidRPr="002102FA" w:rsidRDefault="00974C69" w:rsidP="008F2A8A">
      <w:pPr>
        <w:pStyle w:val="PargrafodaLista"/>
        <w:widowControl w:val="0"/>
        <w:numPr>
          <w:ilvl w:val="0"/>
          <w:numId w:val="6"/>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Tomada de decisão com base em evidência;</w:t>
      </w:r>
    </w:p>
    <w:p w14:paraId="2C6B2D28" w14:textId="77777777" w:rsidR="00974C69" w:rsidRPr="002102FA" w:rsidRDefault="00974C69" w:rsidP="008F2A8A">
      <w:pPr>
        <w:pStyle w:val="PargrafodaLista"/>
        <w:widowControl w:val="0"/>
        <w:numPr>
          <w:ilvl w:val="0"/>
          <w:numId w:val="6"/>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Gestão de relacionamento.</w:t>
      </w:r>
    </w:p>
    <w:p w14:paraId="4B949289"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A norma traz ainda um requisito com orientações para o desenvolvimento de um SGQ utilizando os conceitos fundamentais e os princípios mencionados anteriormente.</w:t>
      </w:r>
    </w:p>
    <w:p w14:paraId="1DC66A43"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Outra norma bastante importante que fundamenta a Gestão da Qualidade é a NBR ISO/IEC 17000:2005, esta norma especifica definições e termos gerais relativos à avaliação de conformidade. </w:t>
      </w:r>
    </w:p>
    <w:p w14:paraId="5FE753AC"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Veja o que consta sobre certificação:</w:t>
      </w:r>
    </w:p>
    <w:p w14:paraId="4881C453" w14:textId="77777777" w:rsidR="00974C69" w:rsidRPr="002102FA" w:rsidRDefault="00974C69" w:rsidP="008F2A8A">
      <w:pPr>
        <w:pStyle w:val="Ttulo1"/>
        <w:numPr>
          <w:ilvl w:val="0"/>
          <w:numId w:val="9"/>
        </w:numPr>
        <w:tabs>
          <w:tab w:val="left" w:pos="426"/>
        </w:tabs>
        <w:spacing w:before="480" w:line="360" w:lineRule="auto"/>
        <w:ind w:left="432" w:hanging="432"/>
        <w:rPr>
          <w:rFonts w:asciiTheme="majorHAnsi" w:eastAsia="Verdana" w:hAnsiTheme="majorHAnsi" w:cstheme="majorHAnsi"/>
        </w:rPr>
      </w:pPr>
      <w:bookmarkStart w:id="8" w:name="_Toc8656698"/>
      <w:bookmarkStart w:id="9" w:name="_Toc22564399"/>
      <w:r w:rsidRPr="002102FA">
        <w:rPr>
          <w:rFonts w:asciiTheme="majorHAnsi" w:eastAsia="Verdana" w:hAnsiTheme="majorHAnsi" w:cstheme="majorHAnsi"/>
        </w:rPr>
        <w:lastRenderedPageBreak/>
        <w:t>Certificação</w:t>
      </w:r>
      <w:bookmarkEnd w:id="8"/>
      <w:bookmarkEnd w:id="9"/>
    </w:p>
    <w:p w14:paraId="35559200" w14:textId="77777777" w:rsidR="00974C69" w:rsidRPr="002102FA" w:rsidRDefault="00974C69" w:rsidP="008F2A8A">
      <w:pPr>
        <w:spacing w:before="240" w:after="240" w:line="360" w:lineRule="auto"/>
        <w:jc w:val="both"/>
        <w:rPr>
          <w:rFonts w:asciiTheme="majorHAnsi" w:eastAsia="Verdana" w:hAnsiTheme="majorHAnsi" w:cstheme="majorHAnsi"/>
          <w:b/>
          <w:i/>
        </w:rPr>
      </w:pPr>
      <w:r w:rsidRPr="002102FA">
        <w:rPr>
          <w:rFonts w:asciiTheme="majorHAnsi" w:hAnsiTheme="majorHAnsi" w:cstheme="majorHAnsi"/>
          <w:noProof/>
          <w:lang w:eastAsia="pt-BR"/>
        </w:rPr>
        <w:drawing>
          <wp:anchor distT="0" distB="0" distL="114300" distR="114300" simplePos="0" relativeHeight="251671552" behindDoc="0" locked="0" layoutInCell="1" allowOverlap="1" wp14:anchorId="03CEAB62" wp14:editId="2A916E4C">
            <wp:simplePos x="0" y="0"/>
            <wp:positionH relativeFrom="column">
              <wp:posOffset>-6985</wp:posOffset>
            </wp:positionH>
            <wp:positionV relativeFrom="paragraph">
              <wp:posOffset>44450</wp:posOffset>
            </wp:positionV>
            <wp:extent cx="2023110" cy="278384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23110" cy="2783840"/>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eastAsia="Verdana" w:hAnsiTheme="majorHAnsi" w:cstheme="majorHAnsi"/>
          <w:noProof/>
          <w:lang w:eastAsia="pt-BR"/>
        </w:rPr>
        <w:drawing>
          <wp:anchor distT="0" distB="0" distL="114300" distR="114300" simplePos="0" relativeHeight="251670528" behindDoc="1" locked="0" layoutInCell="1" allowOverlap="1" wp14:anchorId="28412D15" wp14:editId="676B3F71">
            <wp:simplePos x="0" y="0"/>
            <wp:positionH relativeFrom="column">
              <wp:posOffset>1095375</wp:posOffset>
            </wp:positionH>
            <wp:positionV relativeFrom="paragraph">
              <wp:posOffset>358140</wp:posOffset>
            </wp:positionV>
            <wp:extent cx="146685" cy="168275"/>
            <wp:effectExtent l="0" t="0" r="5715" b="3175"/>
            <wp:wrapTight wrapText="bothSides">
              <wp:wrapPolygon edited="0">
                <wp:start x="0" y="0"/>
                <wp:lineTo x="0" y="19562"/>
                <wp:lineTo x="19636" y="19562"/>
                <wp:lineTo x="19636" y="0"/>
                <wp:lineTo x="0" y="0"/>
              </wp:wrapPolygon>
            </wp:wrapTight>
            <wp:docPr id="20" name="Imagem 20" descr="C:\Users\aline\Desktop\Mais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Mais inf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2FA">
        <w:rPr>
          <w:rFonts w:asciiTheme="majorHAnsi" w:eastAsia="Verdana" w:hAnsiTheme="majorHAnsi" w:cstheme="majorHAnsi"/>
        </w:rPr>
        <w:t xml:space="preserve">De acordo com a NBR ISO/IEC </w:t>
      </w:r>
      <w:hyperlink r:id="rId18" w:history="1">
        <w:r w:rsidRPr="002102FA">
          <w:rPr>
            <w:rStyle w:val="Hyperlink"/>
            <w:rFonts w:asciiTheme="majorHAnsi" w:eastAsia="Verdana" w:hAnsiTheme="majorHAnsi" w:cstheme="majorHAnsi"/>
          </w:rPr>
          <w:t>17000:2005</w:t>
        </w:r>
      </w:hyperlink>
      <w:r w:rsidRPr="002102FA">
        <w:rPr>
          <w:rFonts w:asciiTheme="majorHAnsi" w:eastAsia="Verdana" w:hAnsiTheme="majorHAnsi" w:cstheme="majorHAnsi"/>
          <w:color w:val="2E74B5" w:themeColor="accent1" w:themeShade="BF"/>
        </w:rPr>
        <w:t xml:space="preserve"> </w:t>
      </w:r>
      <w:r w:rsidRPr="002102FA">
        <w:rPr>
          <w:rFonts w:asciiTheme="majorHAnsi" w:eastAsia="Verdana" w:hAnsiTheme="majorHAnsi" w:cstheme="majorHAnsi"/>
        </w:rPr>
        <w:t xml:space="preserve">– Avaliação da Conformidade – Vocabulário e Princípios Gerais – </w:t>
      </w:r>
      <w:r w:rsidRPr="002102FA">
        <w:rPr>
          <w:rFonts w:asciiTheme="majorHAnsi" w:eastAsia="Verdana" w:hAnsiTheme="majorHAnsi" w:cstheme="majorHAnsi"/>
          <w:b/>
        </w:rPr>
        <w:t>Certificação é a “</w:t>
      </w:r>
      <w:r w:rsidRPr="002102FA">
        <w:rPr>
          <w:rFonts w:asciiTheme="majorHAnsi" w:eastAsia="Verdana" w:hAnsiTheme="majorHAnsi" w:cstheme="majorHAnsi"/>
          <w:b/>
          <w:i/>
        </w:rPr>
        <w:t>atestação relativa a produtos, sistemas ou pessoas por terceira parte”</w:t>
      </w:r>
      <w:r w:rsidRPr="002102FA">
        <w:rPr>
          <w:rFonts w:asciiTheme="majorHAnsi" w:eastAsia="Verdana" w:hAnsiTheme="majorHAnsi" w:cstheme="majorHAnsi"/>
          <w:i/>
        </w:rPr>
        <w:t>.</w:t>
      </w:r>
      <w:r w:rsidRPr="002102FA">
        <w:rPr>
          <w:rFonts w:asciiTheme="majorHAnsi" w:eastAsia="Verdana" w:hAnsiTheme="majorHAnsi" w:cstheme="majorHAnsi"/>
          <w:b/>
          <w:i/>
        </w:rPr>
        <w:t xml:space="preserve"> </w:t>
      </w:r>
    </w:p>
    <w:p w14:paraId="2ECEC86B" w14:textId="77777777" w:rsidR="00974C69" w:rsidRPr="002102FA" w:rsidRDefault="00974C69" w:rsidP="008F2A8A">
      <w:pPr>
        <w:spacing w:before="240" w:after="240" w:line="360" w:lineRule="auto"/>
        <w:jc w:val="both"/>
        <w:rPr>
          <w:rFonts w:asciiTheme="majorHAnsi" w:eastAsia="Verdana" w:hAnsiTheme="majorHAnsi" w:cstheme="majorHAnsi"/>
          <w:b/>
        </w:rPr>
      </w:pPr>
      <w:r w:rsidRPr="002102FA">
        <w:rPr>
          <w:rFonts w:asciiTheme="majorHAnsi" w:eastAsia="Verdana" w:hAnsiTheme="majorHAnsi" w:cstheme="majorHAnsi"/>
          <w:b/>
        </w:rPr>
        <w:t>Atestação, por sua vez, é a “</w:t>
      </w:r>
      <w:r w:rsidRPr="002102FA">
        <w:rPr>
          <w:rFonts w:asciiTheme="majorHAnsi" w:eastAsia="Verdana" w:hAnsiTheme="majorHAnsi" w:cstheme="majorHAnsi"/>
          <w:b/>
          <w:i/>
        </w:rPr>
        <w:t>emissão de uma afirmação, baseada numa decisão feita após a análise crítica, de que o atendimento aos requisitos especificados foi demonstrado</w:t>
      </w:r>
      <w:r w:rsidRPr="002102FA">
        <w:rPr>
          <w:rFonts w:asciiTheme="majorHAnsi" w:eastAsia="Verdana" w:hAnsiTheme="majorHAnsi" w:cstheme="majorHAnsi"/>
          <w:b/>
        </w:rPr>
        <w:t>”.</w:t>
      </w:r>
    </w:p>
    <w:p w14:paraId="4DEB701C"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Em outras palavras, a Certificação é um meio técnico utilizado para comunicar ao cliente e às demais partes interessadas, que os requisitos estabelecidos nas normas ou regulamentos técnicos ou instruções normativas foram atendidos. Ela é a forma de assegurar a conformidade de um objeto.</w:t>
      </w:r>
    </w:p>
    <w:p w14:paraId="5C38C7B3"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Veja alguns exemplos nos quais a certificação pode ser aplicada:</w:t>
      </w:r>
    </w:p>
    <w:p w14:paraId="0951FC97" w14:textId="77777777" w:rsidR="00974C69" w:rsidRPr="002102FA" w:rsidRDefault="00974C69" w:rsidP="008F2A8A">
      <w:pPr>
        <w:pStyle w:val="PargrafodaLista"/>
        <w:widowControl w:val="0"/>
        <w:numPr>
          <w:ilvl w:val="0"/>
          <w:numId w:val="7"/>
        </w:numPr>
        <w:tabs>
          <w:tab w:val="left" w:pos="284"/>
        </w:tabs>
        <w:spacing w:before="240" w:after="240" w:line="360" w:lineRule="auto"/>
        <w:ind w:left="0" w:firstLine="0"/>
        <w:contextualSpacing w:val="0"/>
        <w:jc w:val="both"/>
        <w:rPr>
          <w:rFonts w:asciiTheme="majorHAnsi" w:hAnsiTheme="majorHAnsi" w:cstheme="majorHAnsi"/>
        </w:rPr>
      </w:pPr>
      <w:r w:rsidRPr="002102FA">
        <w:rPr>
          <w:rFonts w:asciiTheme="majorHAnsi" w:hAnsiTheme="majorHAnsi" w:cstheme="majorHAnsi"/>
          <w:b/>
        </w:rPr>
        <w:t>Gestão da qualidade e meio ambiente:</w:t>
      </w:r>
      <w:r w:rsidRPr="002102FA">
        <w:rPr>
          <w:rFonts w:asciiTheme="majorHAnsi" w:hAnsiTheme="majorHAnsi" w:cstheme="majorHAnsi"/>
        </w:rPr>
        <w:t xml:space="preserve"> aqui, podemos utilizar como exemplo a certificação segundo a </w:t>
      </w:r>
      <w:hyperlink r:id="rId19" w:history="1">
        <w:r w:rsidRPr="002102FA">
          <w:rPr>
            <w:rStyle w:val="Hyperlink"/>
            <w:rFonts w:asciiTheme="majorHAnsi" w:hAnsiTheme="majorHAnsi" w:cstheme="majorHAnsi"/>
          </w:rPr>
          <w:t>ISO 9001</w:t>
        </w:r>
      </w:hyperlink>
      <w:r w:rsidRPr="002102FA">
        <w:rPr>
          <w:rFonts w:asciiTheme="majorHAnsi" w:hAnsiTheme="majorHAnsi" w:cstheme="majorHAnsi"/>
        </w:rPr>
        <w:t xml:space="preserve"> ou ISO </w:t>
      </w:r>
      <w:hyperlink r:id="rId20" w:history="1">
        <w:r w:rsidRPr="002102FA">
          <w:rPr>
            <w:rStyle w:val="Hyperlink"/>
            <w:rFonts w:asciiTheme="majorHAnsi" w:hAnsiTheme="majorHAnsi" w:cstheme="majorHAnsi"/>
          </w:rPr>
          <w:t>14001</w:t>
        </w:r>
      </w:hyperlink>
      <w:r w:rsidRPr="002102FA">
        <w:rPr>
          <w:rFonts w:asciiTheme="majorHAnsi" w:hAnsiTheme="majorHAnsi" w:cstheme="majorHAnsi"/>
        </w:rPr>
        <w:t xml:space="preserve">. </w:t>
      </w:r>
    </w:p>
    <w:p w14:paraId="13251F4B" w14:textId="480B6583" w:rsidR="00974C69" w:rsidRPr="008F2A8A" w:rsidRDefault="00974C69" w:rsidP="008F2A8A">
      <w:pPr>
        <w:pStyle w:val="PargrafodaLista"/>
        <w:widowControl w:val="0"/>
        <w:numPr>
          <w:ilvl w:val="0"/>
          <w:numId w:val="7"/>
        </w:numPr>
        <w:tabs>
          <w:tab w:val="left" w:pos="284"/>
        </w:tabs>
        <w:spacing w:before="240" w:after="240" w:line="360" w:lineRule="auto"/>
        <w:ind w:left="0" w:firstLine="0"/>
        <w:contextualSpacing w:val="0"/>
        <w:jc w:val="both"/>
        <w:rPr>
          <w:rFonts w:asciiTheme="majorHAnsi" w:hAnsiTheme="majorHAnsi" w:cstheme="majorHAnsi"/>
        </w:rPr>
      </w:pPr>
      <w:r w:rsidRPr="002102FA">
        <w:rPr>
          <w:rFonts w:asciiTheme="majorHAnsi" w:hAnsiTheme="majorHAnsi" w:cstheme="majorHAnsi"/>
          <w:b/>
        </w:rPr>
        <w:t>Certificação de pessoas:</w:t>
      </w:r>
      <w:r w:rsidRPr="002102FA">
        <w:rPr>
          <w:rFonts w:asciiTheme="majorHAnsi" w:hAnsiTheme="majorHAnsi" w:cstheme="majorHAnsi"/>
        </w:rPr>
        <w:t xml:space="preserve"> essa certificação avalia as habilidades, os conhecimentos e as competências de algumas ocupações profissionais.</w:t>
      </w:r>
    </w:p>
    <w:p w14:paraId="122E3FB7"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Existem dois tipos de certificação, dentro do Sistema Brasileiro de Avaliação da Conformidade, as Certificações Voluntárias e as Compulsórias.</w:t>
      </w:r>
    </w:p>
    <w:p w14:paraId="134EFD31"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 </w:t>
      </w:r>
      <w:r w:rsidRPr="002102FA">
        <w:rPr>
          <w:rFonts w:asciiTheme="majorHAnsi" w:eastAsia="Verdana" w:hAnsiTheme="majorHAnsi" w:cstheme="majorHAnsi"/>
          <w:b/>
        </w:rPr>
        <w:t>certificação compulsória</w:t>
      </w:r>
      <w:r w:rsidRPr="002102FA">
        <w:rPr>
          <w:rFonts w:asciiTheme="majorHAnsi" w:eastAsia="Verdana" w:hAnsiTheme="majorHAnsi" w:cstheme="majorHAnsi"/>
        </w:rPr>
        <w:t xml:space="preserve"> é uma atividade exercida pelo Estado, por meio de uma autoridade regulamentadora, quando se entende que o produto, processo ou serviço pode oferecer riscos à segurança e saúde do consumidor ou ao meio ambiente ou ainda, em alguns casos, quando o desempenho do produto, se inadequado, pode trazer prejuízos econômicos à sociedade.</w:t>
      </w:r>
    </w:p>
    <w:p w14:paraId="5853ECA2"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Já a </w:t>
      </w:r>
      <w:r w:rsidRPr="002102FA">
        <w:rPr>
          <w:rFonts w:asciiTheme="majorHAnsi" w:eastAsia="Verdana" w:hAnsiTheme="majorHAnsi" w:cstheme="majorHAnsi"/>
          <w:b/>
        </w:rPr>
        <w:t>certificação voluntária</w:t>
      </w:r>
      <w:r w:rsidRPr="002102FA">
        <w:rPr>
          <w:rFonts w:asciiTheme="majorHAnsi" w:eastAsia="Verdana" w:hAnsiTheme="majorHAnsi" w:cstheme="majorHAnsi"/>
        </w:rPr>
        <w:t xml:space="preserve"> é quando a decisão de </w:t>
      </w:r>
      <w:proofErr w:type="gramStart"/>
      <w:r w:rsidRPr="002102FA">
        <w:rPr>
          <w:rFonts w:asciiTheme="majorHAnsi" w:eastAsia="Verdana" w:hAnsiTheme="majorHAnsi" w:cstheme="majorHAnsi"/>
        </w:rPr>
        <w:t>realizá-la</w:t>
      </w:r>
      <w:proofErr w:type="gramEnd"/>
      <w:r w:rsidRPr="002102FA">
        <w:rPr>
          <w:rFonts w:asciiTheme="majorHAnsi" w:eastAsia="Verdana" w:hAnsiTheme="majorHAnsi" w:cstheme="majorHAnsi"/>
        </w:rPr>
        <w:t xml:space="preserve"> parte do fornecedor. Na Avaliação Voluntária é a própria empresa que define se deve ou não avaliar a conformidade de seus produtos, de acordo com o disposto em uma norma técnica.</w:t>
      </w:r>
    </w:p>
    <w:p w14:paraId="26A9E6A8"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Agora vamos a outro termo bastante utilizado quando se fala em Gestão da Qualidade. </w:t>
      </w:r>
    </w:p>
    <w:p w14:paraId="5F0292C5"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Esse termo é:</w:t>
      </w:r>
    </w:p>
    <w:p w14:paraId="00C5844F" w14:textId="77777777" w:rsidR="00974C69" w:rsidRPr="002102FA" w:rsidRDefault="00974C69" w:rsidP="008F2A8A">
      <w:pPr>
        <w:pStyle w:val="Ttulo1"/>
        <w:numPr>
          <w:ilvl w:val="0"/>
          <w:numId w:val="9"/>
        </w:numPr>
        <w:tabs>
          <w:tab w:val="left" w:pos="426"/>
        </w:tabs>
        <w:spacing w:before="480" w:line="360" w:lineRule="auto"/>
        <w:ind w:left="432" w:hanging="432"/>
        <w:rPr>
          <w:rFonts w:asciiTheme="majorHAnsi" w:eastAsia="Verdana" w:hAnsiTheme="majorHAnsi" w:cstheme="majorHAnsi"/>
        </w:rPr>
      </w:pPr>
      <w:bookmarkStart w:id="10" w:name="_Toc8656699"/>
      <w:bookmarkStart w:id="11" w:name="_Toc22564400"/>
      <w:r w:rsidRPr="002102FA">
        <w:rPr>
          <w:rFonts w:asciiTheme="majorHAnsi" w:eastAsia="Verdana" w:hAnsiTheme="majorHAnsi" w:cstheme="majorHAnsi"/>
        </w:rPr>
        <w:lastRenderedPageBreak/>
        <w:t>Acreditação</w:t>
      </w:r>
      <w:bookmarkEnd w:id="10"/>
      <w:bookmarkEnd w:id="11"/>
    </w:p>
    <w:p w14:paraId="34717E07"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hAnsiTheme="majorHAnsi" w:cstheme="majorHAnsi"/>
          <w:noProof/>
          <w:lang w:eastAsia="pt-BR"/>
        </w:rPr>
        <w:drawing>
          <wp:anchor distT="0" distB="0" distL="114300" distR="114300" simplePos="0" relativeHeight="251672576" behindDoc="0" locked="0" layoutInCell="1" allowOverlap="1" wp14:anchorId="186DB077" wp14:editId="4317739C">
            <wp:simplePos x="0" y="0"/>
            <wp:positionH relativeFrom="column">
              <wp:posOffset>-8890</wp:posOffset>
            </wp:positionH>
            <wp:positionV relativeFrom="paragraph">
              <wp:posOffset>57150</wp:posOffset>
            </wp:positionV>
            <wp:extent cx="1955800" cy="1965960"/>
            <wp:effectExtent l="0" t="0" r="635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55800" cy="1965960"/>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eastAsia="Verdana" w:hAnsiTheme="majorHAnsi" w:cstheme="majorHAnsi"/>
        </w:rPr>
        <w:t xml:space="preserve">A acreditação é uma ferramenta estabelecida em escala internacional para gerar confiança na atuação de organizações que executam atividades de avaliação da conformidade. </w:t>
      </w:r>
    </w:p>
    <w:p w14:paraId="00FC9649"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 </w:t>
      </w:r>
    </w:p>
    <w:p w14:paraId="751E0EEC"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Esses requisitos são baseados em guias e normas internacionais, em especial os guias e normas ISO para Avaliação da Conformidade. </w:t>
      </w:r>
    </w:p>
    <w:p w14:paraId="1D2F763A"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Os organismos de Avaliação da Conformidade que podem submeter-se a Acreditação são:</w:t>
      </w:r>
    </w:p>
    <w:p w14:paraId="40D7477E" w14:textId="77777777" w:rsidR="00974C69" w:rsidRPr="002102FA" w:rsidRDefault="001F59D2" w:rsidP="008F2A8A">
      <w:pPr>
        <w:pStyle w:val="PargrafodaLista"/>
        <w:widowControl w:val="0"/>
        <w:numPr>
          <w:ilvl w:val="0"/>
          <w:numId w:val="7"/>
        </w:numPr>
        <w:tabs>
          <w:tab w:val="left" w:pos="426"/>
        </w:tabs>
        <w:spacing w:before="240" w:after="240" w:line="360" w:lineRule="auto"/>
        <w:ind w:left="0" w:firstLine="0"/>
        <w:contextualSpacing w:val="0"/>
        <w:jc w:val="both"/>
        <w:rPr>
          <w:rFonts w:asciiTheme="majorHAnsi" w:hAnsiTheme="majorHAnsi" w:cstheme="majorHAnsi"/>
        </w:rPr>
      </w:pPr>
      <w:hyperlink r:id="rId22" w:history="1">
        <w:r w:rsidR="00974C69" w:rsidRPr="002102FA">
          <w:rPr>
            <w:rFonts w:asciiTheme="majorHAnsi" w:hAnsiTheme="majorHAnsi" w:cstheme="majorHAnsi"/>
          </w:rPr>
          <w:t>Laboratórios de calibração e ensaio</w:t>
        </w:r>
      </w:hyperlink>
      <w:r w:rsidR="00974C69" w:rsidRPr="002102FA">
        <w:rPr>
          <w:rFonts w:asciiTheme="majorHAnsi" w:hAnsiTheme="majorHAnsi" w:cstheme="majorHAnsi"/>
        </w:rPr>
        <w:t>;</w:t>
      </w:r>
    </w:p>
    <w:p w14:paraId="1DDE7E00" w14:textId="77777777" w:rsidR="00974C69" w:rsidRPr="002102FA" w:rsidRDefault="001F59D2" w:rsidP="008F2A8A">
      <w:pPr>
        <w:pStyle w:val="PargrafodaLista"/>
        <w:widowControl w:val="0"/>
        <w:numPr>
          <w:ilvl w:val="0"/>
          <w:numId w:val="7"/>
        </w:numPr>
        <w:tabs>
          <w:tab w:val="left" w:pos="426"/>
        </w:tabs>
        <w:spacing w:before="240" w:after="240" w:line="360" w:lineRule="auto"/>
        <w:ind w:left="0" w:firstLine="0"/>
        <w:contextualSpacing w:val="0"/>
        <w:jc w:val="both"/>
        <w:rPr>
          <w:rFonts w:asciiTheme="majorHAnsi" w:hAnsiTheme="majorHAnsi" w:cstheme="majorHAnsi"/>
        </w:rPr>
      </w:pPr>
      <w:hyperlink r:id="rId23" w:history="1">
        <w:r w:rsidR="00974C69" w:rsidRPr="002102FA">
          <w:rPr>
            <w:rFonts w:asciiTheme="majorHAnsi" w:hAnsiTheme="majorHAnsi" w:cstheme="majorHAnsi"/>
          </w:rPr>
          <w:t>Organismos de Certificação</w:t>
        </w:r>
      </w:hyperlink>
      <w:r w:rsidR="00974C69" w:rsidRPr="002102FA">
        <w:rPr>
          <w:rFonts w:asciiTheme="majorHAnsi" w:hAnsiTheme="majorHAnsi" w:cstheme="majorHAnsi"/>
        </w:rPr>
        <w:t>;</w:t>
      </w:r>
    </w:p>
    <w:p w14:paraId="096F95B9" w14:textId="38EA7EDB" w:rsidR="00974C69" w:rsidRPr="008F2A8A" w:rsidRDefault="001F59D2" w:rsidP="008F2A8A">
      <w:pPr>
        <w:pStyle w:val="PargrafodaLista"/>
        <w:widowControl w:val="0"/>
        <w:numPr>
          <w:ilvl w:val="0"/>
          <w:numId w:val="7"/>
        </w:numPr>
        <w:tabs>
          <w:tab w:val="left" w:pos="426"/>
        </w:tabs>
        <w:spacing w:before="240" w:after="240" w:line="360" w:lineRule="auto"/>
        <w:ind w:left="0" w:firstLine="0"/>
        <w:contextualSpacing w:val="0"/>
        <w:jc w:val="both"/>
        <w:rPr>
          <w:rFonts w:asciiTheme="majorHAnsi" w:hAnsiTheme="majorHAnsi" w:cstheme="majorHAnsi"/>
        </w:rPr>
      </w:pPr>
      <w:hyperlink r:id="rId24" w:history="1">
        <w:r w:rsidR="00974C69" w:rsidRPr="002102FA">
          <w:rPr>
            <w:rFonts w:asciiTheme="majorHAnsi" w:hAnsiTheme="majorHAnsi" w:cstheme="majorHAnsi"/>
          </w:rPr>
          <w:t>Organismos de Inspeção</w:t>
        </w:r>
      </w:hyperlink>
      <w:r w:rsidR="00974C69" w:rsidRPr="002102FA">
        <w:rPr>
          <w:rFonts w:asciiTheme="majorHAnsi" w:hAnsiTheme="majorHAnsi" w:cstheme="majorHAnsi"/>
        </w:rPr>
        <w:t>.</w:t>
      </w:r>
    </w:p>
    <w:p w14:paraId="18CF7D80"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Como a Acreditação possui caráter voluntário, cabe ao organismo de Avaliação da Conformidade decidir se busca, ou não, ser acreditado junto ao organismo responsável, por esse motivo, nem todos os organismos de Avaliação da Conformidade são acreditados. </w:t>
      </w:r>
    </w:p>
    <w:p w14:paraId="6B0E602E"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No Brasil, a atividade de acreditação é realizada pela Coordenação Geral de Acreditação do Inmetro, a </w:t>
      </w:r>
      <w:proofErr w:type="spellStart"/>
      <w:r w:rsidRPr="002102FA">
        <w:rPr>
          <w:rFonts w:asciiTheme="majorHAnsi" w:eastAsia="Verdana" w:hAnsiTheme="majorHAnsi" w:cstheme="majorHAnsi"/>
        </w:rPr>
        <w:t>Cgcre</w:t>
      </w:r>
      <w:proofErr w:type="spellEnd"/>
      <w:r w:rsidRPr="002102FA">
        <w:rPr>
          <w:rFonts w:asciiTheme="majorHAnsi" w:eastAsia="Verdana" w:hAnsiTheme="majorHAnsi" w:cstheme="majorHAnsi"/>
        </w:rPr>
        <w:t xml:space="preserve">, ela é reconhecida pelo Governo Brasileiro, como órgão responsável pela acreditação de organismos de avaliação da conformidade. </w:t>
      </w:r>
    </w:p>
    <w:p w14:paraId="218CA5E5"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 </w:t>
      </w:r>
      <w:proofErr w:type="spellStart"/>
      <w:r w:rsidRPr="002102FA">
        <w:rPr>
          <w:rFonts w:asciiTheme="majorHAnsi" w:eastAsia="Verdana" w:hAnsiTheme="majorHAnsi" w:cstheme="majorHAnsi"/>
        </w:rPr>
        <w:t>Cgcre</w:t>
      </w:r>
      <w:proofErr w:type="spellEnd"/>
      <w:r w:rsidRPr="002102FA">
        <w:rPr>
          <w:rFonts w:asciiTheme="majorHAnsi" w:eastAsia="Verdana" w:hAnsiTheme="majorHAnsi" w:cstheme="majorHAnsi"/>
        </w:rPr>
        <w:t xml:space="preserve"> é, portanto, dentro da estrutura organizacional do Inmetro, a unidade organizacional principal que tem total responsabilidade e autoridade sobre todos os aspectos referentes à acreditação, incluindo as decisões de acreditação.</w:t>
      </w:r>
    </w:p>
    <w:p w14:paraId="2BC50C4C"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Na área de laboratórios de ensaio e calibração, a base para a acreditação é a norma internacional ISO/ IEC 17025 – </w:t>
      </w:r>
      <w:hyperlink r:id="rId25" w:history="1">
        <w:r w:rsidRPr="002102FA">
          <w:rPr>
            <w:rFonts w:asciiTheme="majorHAnsi" w:eastAsia="Verdana" w:hAnsiTheme="majorHAnsi" w:cstheme="majorHAnsi"/>
          </w:rPr>
          <w:t>Requisitos gerais para a competência de laboratórios de ensaio e calibração</w:t>
        </w:r>
      </w:hyperlink>
      <w:r w:rsidRPr="002102FA">
        <w:rPr>
          <w:rFonts w:asciiTheme="majorHAnsi" w:eastAsia="Verdana" w:hAnsiTheme="majorHAnsi" w:cstheme="majorHAnsi"/>
        </w:rPr>
        <w:t>. A versão atual da norma foi publicada no final de 2017, substituindo a versão de 2005.</w:t>
      </w:r>
    </w:p>
    <w:p w14:paraId="41758BBD"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Vamos falar um pouquinho sobre ela:</w:t>
      </w:r>
    </w:p>
    <w:p w14:paraId="557E9A1D" w14:textId="77777777" w:rsidR="00974C69" w:rsidRPr="002102FA" w:rsidRDefault="00974C69" w:rsidP="008F2A8A">
      <w:pPr>
        <w:pStyle w:val="Ttulo1"/>
        <w:numPr>
          <w:ilvl w:val="0"/>
          <w:numId w:val="9"/>
        </w:numPr>
        <w:tabs>
          <w:tab w:val="left" w:pos="426"/>
        </w:tabs>
        <w:spacing w:before="480" w:line="360" w:lineRule="auto"/>
        <w:ind w:left="432" w:hanging="432"/>
        <w:rPr>
          <w:rFonts w:asciiTheme="majorHAnsi" w:eastAsia="Verdana" w:hAnsiTheme="majorHAnsi" w:cstheme="majorHAnsi"/>
        </w:rPr>
      </w:pPr>
      <w:bookmarkStart w:id="12" w:name="_Toc8656700"/>
      <w:bookmarkStart w:id="13" w:name="_Toc22564401"/>
      <w:r w:rsidRPr="002102FA">
        <w:rPr>
          <w:rFonts w:asciiTheme="majorHAnsi" w:eastAsia="Verdana" w:hAnsiTheme="majorHAnsi" w:cstheme="majorHAnsi"/>
        </w:rPr>
        <w:lastRenderedPageBreak/>
        <w:t>ISO/IEC 17025</w:t>
      </w:r>
      <w:bookmarkEnd w:id="12"/>
      <w:bookmarkEnd w:id="13"/>
    </w:p>
    <w:p w14:paraId="74EB3D2C"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 </w:t>
      </w:r>
      <w:hyperlink r:id="rId26" w:history="1">
        <w:r w:rsidRPr="002102FA">
          <w:rPr>
            <w:rStyle w:val="Hyperlink"/>
            <w:rFonts w:asciiTheme="majorHAnsi" w:eastAsia="Verdana" w:hAnsiTheme="majorHAnsi" w:cstheme="majorHAnsi"/>
            <w:color w:val="auto"/>
          </w:rPr>
          <w:t>ISO/IEC 17025</w:t>
        </w:r>
      </w:hyperlink>
      <w:r w:rsidRPr="002102FA">
        <w:rPr>
          <w:rFonts w:asciiTheme="majorHAnsi" w:eastAsia="Verdana" w:hAnsiTheme="majorHAnsi" w:cstheme="majorHAnsi"/>
        </w:rPr>
        <w:t xml:space="preserve"> estabelece um sistema de gestão da qualidade e requisitos técnicos para laboratórios. </w:t>
      </w:r>
    </w:p>
    <w:p w14:paraId="7F96BDBD"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Os requisitos relacionados ao sistema de gestão da ISO/IEC 17025 foram baseados na ISO 9001:2015. Porém, ao contrário da versão 2005, não há no final do texto da versão 2017, uma tabela correlacionando a ISO 9001 e a ISO/IEC 17025.</w:t>
      </w:r>
    </w:p>
    <w:p w14:paraId="54F9E622" w14:textId="77777777" w:rsidR="00974C69" w:rsidRPr="002102FA" w:rsidRDefault="00974C69" w:rsidP="008F2A8A">
      <w:pPr>
        <w:spacing w:before="240" w:after="240" w:line="360" w:lineRule="auto"/>
        <w:rPr>
          <w:rFonts w:asciiTheme="majorHAnsi" w:eastAsia="Verdana" w:hAnsiTheme="majorHAnsi" w:cstheme="majorHAnsi"/>
        </w:rPr>
      </w:pPr>
      <w:r w:rsidRPr="002102FA">
        <w:rPr>
          <w:rFonts w:asciiTheme="majorHAnsi" w:eastAsia="Verdana" w:hAnsiTheme="majorHAnsi" w:cstheme="majorHAnsi"/>
        </w:rPr>
        <w:t>Além dos requisitos de gestão, a norma também abrange requisitos gerais, de estrutura, de recurso e de processo.</w:t>
      </w:r>
    </w:p>
    <w:p w14:paraId="11FE848A"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A ISO/IEC 17025 tem como objetivo demonstrar a competência do laboratório na realização das suas atividades de laboratório.</w:t>
      </w:r>
    </w:p>
    <w:p w14:paraId="6C2F61F8"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Além da ISO/IEC 17025, existem também outras normas e documentos de referência aplicáveis especificamente a sistemas de gestão de laboratórios. </w:t>
      </w:r>
    </w:p>
    <w:p w14:paraId="37F93065" w14:textId="171168DC" w:rsidR="006A22BD"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Veja alguns exemplos:</w:t>
      </w:r>
    </w:p>
    <w:p w14:paraId="6DC2590C" w14:textId="77777777" w:rsidR="00974C69" w:rsidRPr="002102FA" w:rsidRDefault="00974C69" w:rsidP="008F2A8A">
      <w:pPr>
        <w:pStyle w:val="Ttulo1"/>
        <w:numPr>
          <w:ilvl w:val="0"/>
          <w:numId w:val="9"/>
        </w:numPr>
        <w:tabs>
          <w:tab w:val="left" w:pos="426"/>
        </w:tabs>
        <w:spacing w:before="480" w:line="360" w:lineRule="auto"/>
        <w:ind w:left="432" w:hanging="432"/>
        <w:rPr>
          <w:rFonts w:asciiTheme="majorHAnsi" w:eastAsia="Verdana" w:hAnsiTheme="majorHAnsi" w:cstheme="majorHAnsi"/>
        </w:rPr>
      </w:pPr>
      <w:bookmarkStart w:id="14" w:name="_Toc8656701"/>
      <w:bookmarkStart w:id="15" w:name="_Toc22564402"/>
      <w:r w:rsidRPr="002102FA">
        <w:rPr>
          <w:rFonts w:asciiTheme="majorHAnsi" w:eastAsia="Verdana" w:hAnsiTheme="majorHAnsi" w:cstheme="majorHAnsi"/>
        </w:rPr>
        <w:t>Outras normas de referência</w:t>
      </w:r>
      <w:bookmarkEnd w:id="14"/>
      <w:bookmarkEnd w:id="15"/>
    </w:p>
    <w:tbl>
      <w:tblPr>
        <w:tblStyle w:val="Tabelacomgrade"/>
        <w:tblW w:w="9585" w:type="dxa"/>
        <w:jc w:val="center"/>
        <w:tblInd w:w="0" w:type="dxa"/>
        <w:tblLook w:val="04A0" w:firstRow="1" w:lastRow="0" w:firstColumn="1" w:lastColumn="0" w:noHBand="0" w:noVBand="1"/>
      </w:tblPr>
      <w:tblGrid>
        <w:gridCol w:w="1838"/>
        <w:gridCol w:w="2693"/>
        <w:gridCol w:w="5054"/>
      </w:tblGrid>
      <w:tr w:rsidR="00974C69" w:rsidRPr="002102FA" w14:paraId="2BEBB993" w14:textId="77777777" w:rsidTr="003473E0">
        <w:trPr>
          <w:trHeight w:val="442"/>
          <w:jc w:val="center"/>
        </w:trPr>
        <w:tc>
          <w:tcPr>
            <w:tcW w:w="1838" w:type="dxa"/>
            <w:shd w:val="clear" w:color="auto" w:fill="0070C0"/>
            <w:vAlign w:val="center"/>
          </w:tcPr>
          <w:p w14:paraId="53DF10B4" w14:textId="77777777" w:rsidR="00974C69" w:rsidRPr="002102FA" w:rsidRDefault="00974C69" w:rsidP="008F2A8A">
            <w:pPr>
              <w:spacing w:before="240" w:after="240" w:line="360" w:lineRule="auto"/>
              <w:jc w:val="center"/>
              <w:rPr>
                <w:rFonts w:asciiTheme="majorHAnsi" w:eastAsia="Verdana" w:hAnsiTheme="majorHAnsi" w:cstheme="majorHAnsi"/>
                <w:b/>
                <w:color w:val="FFFFFF" w:themeColor="background1"/>
              </w:rPr>
            </w:pPr>
            <w:r w:rsidRPr="002102FA">
              <w:rPr>
                <w:rFonts w:asciiTheme="majorHAnsi" w:eastAsia="Verdana" w:hAnsiTheme="majorHAnsi" w:cstheme="majorHAnsi"/>
                <w:b/>
                <w:color w:val="FFFFFF" w:themeColor="background1"/>
              </w:rPr>
              <w:t>Documento</w:t>
            </w:r>
          </w:p>
        </w:tc>
        <w:tc>
          <w:tcPr>
            <w:tcW w:w="2693" w:type="dxa"/>
            <w:shd w:val="clear" w:color="auto" w:fill="0070C0"/>
            <w:vAlign w:val="center"/>
          </w:tcPr>
          <w:p w14:paraId="2F90A03C" w14:textId="77777777" w:rsidR="00974C69" w:rsidRPr="002102FA" w:rsidRDefault="00974C69" w:rsidP="008F2A8A">
            <w:pPr>
              <w:spacing w:before="240" w:after="240" w:line="360" w:lineRule="auto"/>
              <w:jc w:val="center"/>
              <w:rPr>
                <w:rFonts w:asciiTheme="majorHAnsi" w:eastAsia="Verdana" w:hAnsiTheme="majorHAnsi" w:cstheme="majorHAnsi"/>
                <w:b/>
                <w:color w:val="FFFFFF" w:themeColor="background1"/>
              </w:rPr>
            </w:pPr>
            <w:r w:rsidRPr="002102FA">
              <w:rPr>
                <w:rFonts w:asciiTheme="majorHAnsi" w:eastAsia="Verdana" w:hAnsiTheme="majorHAnsi" w:cstheme="majorHAnsi"/>
                <w:b/>
                <w:color w:val="FFFFFF" w:themeColor="background1"/>
              </w:rPr>
              <w:t>Nome</w:t>
            </w:r>
          </w:p>
        </w:tc>
        <w:tc>
          <w:tcPr>
            <w:tcW w:w="5054" w:type="dxa"/>
            <w:shd w:val="clear" w:color="auto" w:fill="0070C0"/>
            <w:vAlign w:val="center"/>
          </w:tcPr>
          <w:p w14:paraId="5A5FE547" w14:textId="77777777" w:rsidR="00974C69" w:rsidRPr="002102FA" w:rsidRDefault="00974C69" w:rsidP="008F2A8A">
            <w:pPr>
              <w:spacing w:before="240" w:after="240" w:line="360" w:lineRule="auto"/>
              <w:jc w:val="center"/>
              <w:rPr>
                <w:rFonts w:asciiTheme="majorHAnsi" w:eastAsia="Verdana" w:hAnsiTheme="majorHAnsi" w:cstheme="majorHAnsi"/>
                <w:b/>
                <w:color w:val="FFFFFF" w:themeColor="background1"/>
              </w:rPr>
            </w:pPr>
            <w:r w:rsidRPr="002102FA">
              <w:rPr>
                <w:rFonts w:asciiTheme="majorHAnsi" w:eastAsia="Verdana" w:hAnsiTheme="majorHAnsi" w:cstheme="majorHAnsi"/>
                <w:b/>
                <w:color w:val="FFFFFF" w:themeColor="background1"/>
              </w:rPr>
              <w:t>Aplicação</w:t>
            </w:r>
          </w:p>
        </w:tc>
      </w:tr>
      <w:tr w:rsidR="00974C69" w:rsidRPr="002102FA" w14:paraId="6BFBE2D4" w14:textId="77777777" w:rsidTr="003473E0">
        <w:trPr>
          <w:jc w:val="center"/>
        </w:trPr>
        <w:tc>
          <w:tcPr>
            <w:tcW w:w="1838" w:type="dxa"/>
            <w:vAlign w:val="center"/>
          </w:tcPr>
          <w:p w14:paraId="0D3AFBA5" w14:textId="77777777" w:rsidR="00974C69" w:rsidRPr="003473E0" w:rsidRDefault="00974C69" w:rsidP="003473E0">
            <w:pPr>
              <w:spacing w:before="120" w:after="120" w:line="360" w:lineRule="auto"/>
              <w:jc w:val="center"/>
              <w:rPr>
                <w:rFonts w:asciiTheme="majorHAnsi" w:eastAsia="Verdana" w:hAnsiTheme="majorHAnsi" w:cstheme="majorHAnsi"/>
              </w:rPr>
            </w:pPr>
            <w:r w:rsidRPr="003473E0">
              <w:rPr>
                <w:rFonts w:asciiTheme="majorHAnsi" w:eastAsia="Verdana" w:hAnsiTheme="majorHAnsi" w:cstheme="majorHAnsi"/>
              </w:rPr>
              <w:t>ISO 15189</w:t>
            </w:r>
          </w:p>
        </w:tc>
        <w:tc>
          <w:tcPr>
            <w:tcW w:w="2693" w:type="dxa"/>
            <w:vAlign w:val="center"/>
          </w:tcPr>
          <w:p w14:paraId="2AD4A81C" w14:textId="77777777" w:rsidR="00974C69" w:rsidRPr="003473E0" w:rsidRDefault="001F59D2" w:rsidP="003473E0">
            <w:pPr>
              <w:spacing w:before="120" w:after="120" w:line="360" w:lineRule="auto"/>
              <w:jc w:val="center"/>
              <w:rPr>
                <w:rFonts w:asciiTheme="majorHAnsi" w:eastAsia="Verdana" w:hAnsiTheme="majorHAnsi" w:cstheme="majorHAnsi"/>
              </w:rPr>
            </w:pPr>
            <w:hyperlink r:id="rId27" w:history="1">
              <w:r w:rsidR="00974C69" w:rsidRPr="003473E0">
                <w:rPr>
                  <w:rFonts w:asciiTheme="majorHAnsi" w:eastAsia="Verdana" w:hAnsiTheme="majorHAnsi" w:cstheme="majorHAnsi"/>
                </w:rPr>
                <w:t>Laboratórios clínicos - Requisitos de qualidade e competência</w:t>
              </w:r>
            </w:hyperlink>
          </w:p>
        </w:tc>
        <w:tc>
          <w:tcPr>
            <w:tcW w:w="5054" w:type="dxa"/>
            <w:vAlign w:val="center"/>
          </w:tcPr>
          <w:p w14:paraId="3B41F25E" w14:textId="77777777" w:rsidR="00974C69" w:rsidRPr="003473E0" w:rsidRDefault="00974C69" w:rsidP="003473E0">
            <w:pPr>
              <w:spacing w:before="120" w:after="120" w:line="360" w:lineRule="auto"/>
              <w:jc w:val="both"/>
              <w:rPr>
                <w:rFonts w:asciiTheme="majorHAnsi" w:eastAsia="Verdana" w:hAnsiTheme="majorHAnsi" w:cstheme="majorHAnsi"/>
              </w:rPr>
            </w:pPr>
            <w:r w:rsidRPr="003473E0">
              <w:rPr>
                <w:rFonts w:asciiTheme="majorHAnsi" w:eastAsia="Verdana" w:hAnsiTheme="majorHAnsi" w:cstheme="majorHAnsi"/>
              </w:rPr>
              <w:t>Requisitos de gestão e técnicos para Laboratórios Clínicos</w:t>
            </w:r>
          </w:p>
        </w:tc>
      </w:tr>
      <w:tr w:rsidR="00974C69" w:rsidRPr="002102FA" w14:paraId="0FB926EF" w14:textId="77777777" w:rsidTr="003473E0">
        <w:trPr>
          <w:jc w:val="center"/>
        </w:trPr>
        <w:tc>
          <w:tcPr>
            <w:tcW w:w="1838" w:type="dxa"/>
            <w:vAlign w:val="center"/>
          </w:tcPr>
          <w:p w14:paraId="3939C153" w14:textId="77777777" w:rsidR="00974C69" w:rsidRPr="003473E0" w:rsidRDefault="00974C69" w:rsidP="003473E0">
            <w:pPr>
              <w:spacing w:before="120" w:after="120" w:line="360" w:lineRule="auto"/>
              <w:jc w:val="center"/>
              <w:rPr>
                <w:rFonts w:asciiTheme="majorHAnsi" w:eastAsia="Verdana" w:hAnsiTheme="majorHAnsi" w:cstheme="majorHAnsi"/>
              </w:rPr>
            </w:pPr>
            <w:r w:rsidRPr="003473E0">
              <w:rPr>
                <w:rFonts w:asciiTheme="majorHAnsi" w:eastAsia="Verdana" w:hAnsiTheme="majorHAnsi" w:cstheme="majorHAnsi"/>
              </w:rPr>
              <w:t>BPL</w:t>
            </w:r>
          </w:p>
        </w:tc>
        <w:tc>
          <w:tcPr>
            <w:tcW w:w="2693" w:type="dxa"/>
            <w:vAlign w:val="center"/>
          </w:tcPr>
          <w:p w14:paraId="77BA4C9D" w14:textId="77777777" w:rsidR="00974C69" w:rsidRPr="003473E0" w:rsidRDefault="00974C69" w:rsidP="003473E0">
            <w:pPr>
              <w:spacing w:before="120" w:after="120" w:line="360" w:lineRule="auto"/>
              <w:jc w:val="center"/>
              <w:rPr>
                <w:rFonts w:asciiTheme="majorHAnsi" w:eastAsia="Verdana" w:hAnsiTheme="majorHAnsi" w:cstheme="majorHAnsi"/>
              </w:rPr>
            </w:pPr>
            <w:r w:rsidRPr="003473E0">
              <w:rPr>
                <w:rFonts w:asciiTheme="majorHAnsi" w:eastAsia="Verdana" w:hAnsiTheme="majorHAnsi" w:cstheme="majorHAnsi"/>
              </w:rPr>
              <w:t>Princípios das Boas Práticas de Laboratório</w:t>
            </w:r>
          </w:p>
        </w:tc>
        <w:tc>
          <w:tcPr>
            <w:tcW w:w="5054" w:type="dxa"/>
            <w:vAlign w:val="center"/>
          </w:tcPr>
          <w:p w14:paraId="411A1D78" w14:textId="77777777" w:rsidR="00974C69" w:rsidRPr="003473E0" w:rsidRDefault="00974C69" w:rsidP="003473E0">
            <w:pPr>
              <w:spacing w:before="120" w:after="120" w:line="360" w:lineRule="auto"/>
              <w:jc w:val="both"/>
              <w:rPr>
                <w:rFonts w:asciiTheme="majorHAnsi" w:eastAsia="Verdana" w:hAnsiTheme="majorHAnsi" w:cstheme="majorHAnsi"/>
              </w:rPr>
            </w:pPr>
            <w:r w:rsidRPr="003473E0">
              <w:rPr>
                <w:rFonts w:asciiTheme="majorHAnsi" w:eastAsia="Verdana" w:hAnsiTheme="majorHAnsi" w:cstheme="majorHAnsi"/>
              </w:rPr>
              <w:t xml:space="preserve">E um sistema de qualidade que abrange o processo organizacional e as condições nas quais estudos não-clínicos de segurança à saúde humana e ao meio ambiente são planejados, desenvolvidos, monitorados, registrados, arquivados e relatados. </w:t>
            </w:r>
          </w:p>
          <w:p w14:paraId="21E956F1" w14:textId="77777777" w:rsidR="00974C69" w:rsidRPr="003473E0" w:rsidRDefault="00974C69" w:rsidP="003473E0">
            <w:pPr>
              <w:spacing w:before="120" w:after="120" w:line="360" w:lineRule="auto"/>
              <w:jc w:val="both"/>
              <w:rPr>
                <w:rFonts w:asciiTheme="majorHAnsi" w:eastAsia="Verdana" w:hAnsiTheme="majorHAnsi" w:cstheme="majorHAnsi"/>
              </w:rPr>
            </w:pPr>
            <w:r w:rsidRPr="003473E0">
              <w:rPr>
                <w:rFonts w:asciiTheme="majorHAnsi" w:eastAsia="Verdana" w:hAnsiTheme="majorHAnsi" w:cstheme="majorHAnsi"/>
              </w:rPr>
              <w:t xml:space="preserve">Constituem-se em testes geralmente exigidos por órgãos regulamentadores para fins de avaliação e o registro de produtos como agrotóxicos, seus componentes e afins, produtos farmacêuticos, cosméticos, produtos para tratamento preservativo de </w:t>
            </w:r>
            <w:r w:rsidRPr="003473E0">
              <w:rPr>
                <w:rFonts w:asciiTheme="majorHAnsi" w:eastAsia="Verdana" w:hAnsiTheme="majorHAnsi" w:cstheme="majorHAnsi"/>
              </w:rPr>
              <w:lastRenderedPageBreak/>
              <w:t>madeira, aditivos de alimentos e de rações, produtos veterinários, saneantes, produtos químicos industriais, organismos geneticamente modificados.</w:t>
            </w:r>
          </w:p>
        </w:tc>
      </w:tr>
      <w:tr w:rsidR="00974C69" w:rsidRPr="002102FA" w14:paraId="3A41C31F" w14:textId="77777777" w:rsidTr="003473E0">
        <w:trPr>
          <w:jc w:val="center"/>
        </w:trPr>
        <w:tc>
          <w:tcPr>
            <w:tcW w:w="1838" w:type="dxa"/>
            <w:vAlign w:val="center"/>
          </w:tcPr>
          <w:p w14:paraId="4D1747F6" w14:textId="77777777" w:rsidR="00974C69" w:rsidRPr="003473E0" w:rsidRDefault="00974C69" w:rsidP="003473E0">
            <w:pPr>
              <w:spacing w:before="120" w:after="120" w:line="360" w:lineRule="auto"/>
              <w:jc w:val="center"/>
              <w:rPr>
                <w:rFonts w:asciiTheme="majorHAnsi" w:eastAsia="Verdana" w:hAnsiTheme="majorHAnsi" w:cstheme="majorHAnsi"/>
              </w:rPr>
            </w:pPr>
            <w:r w:rsidRPr="003473E0">
              <w:rPr>
                <w:rFonts w:asciiTheme="majorHAnsi" w:eastAsia="Verdana" w:hAnsiTheme="majorHAnsi" w:cstheme="majorHAnsi"/>
              </w:rPr>
              <w:lastRenderedPageBreak/>
              <w:t>RDC 302</w:t>
            </w:r>
          </w:p>
        </w:tc>
        <w:tc>
          <w:tcPr>
            <w:tcW w:w="2693" w:type="dxa"/>
            <w:vAlign w:val="center"/>
          </w:tcPr>
          <w:p w14:paraId="1130777F" w14:textId="77777777" w:rsidR="00974C69" w:rsidRPr="003473E0" w:rsidRDefault="00974C69" w:rsidP="003473E0">
            <w:pPr>
              <w:spacing w:before="120" w:after="120" w:line="360" w:lineRule="auto"/>
              <w:jc w:val="center"/>
              <w:rPr>
                <w:rFonts w:asciiTheme="majorHAnsi" w:eastAsia="Verdana" w:hAnsiTheme="majorHAnsi" w:cstheme="majorHAnsi"/>
              </w:rPr>
            </w:pPr>
            <w:r w:rsidRPr="003473E0">
              <w:rPr>
                <w:rFonts w:asciiTheme="majorHAnsi" w:eastAsia="Verdana" w:hAnsiTheme="majorHAnsi" w:cstheme="majorHAnsi"/>
              </w:rPr>
              <w:t>Regulamento Técnico para funcionamento de Laboratórios Clínicos.</w:t>
            </w:r>
          </w:p>
        </w:tc>
        <w:tc>
          <w:tcPr>
            <w:tcW w:w="5054" w:type="dxa"/>
            <w:vAlign w:val="center"/>
          </w:tcPr>
          <w:p w14:paraId="0B64EF6C" w14:textId="77777777" w:rsidR="00974C69" w:rsidRPr="003473E0" w:rsidRDefault="00974C69" w:rsidP="003473E0">
            <w:pPr>
              <w:spacing w:before="120" w:after="120" w:line="360" w:lineRule="auto"/>
              <w:jc w:val="both"/>
              <w:rPr>
                <w:rFonts w:asciiTheme="majorHAnsi" w:eastAsia="Verdana" w:hAnsiTheme="majorHAnsi" w:cstheme="majorHAnsi"/>
              </w:rPr>
            </w:pPr>
            <w:r w:rsidRPr="003473E0">
              <w:rPr>
                <w:rFonts w:asciiTheme="majorHAnsi" w:eastAsia="Verdana" w:hAnsiTheme="majorHAnsi" w:cstheme="majorHAnsi"/>
              </w:rPr>
              <w:t>Regulamento Técnico, emitido pela Anvisa, para funcionamento dos serviços que realizam atividades laboratoriais, tais como Laboratório Clínico e Posto de Coleta Laboratorial.</w:t>
            </w:r>
          </w:p>
        </w:tc>
      </w:tr>
    </w:tbl>
    <w:p w14:paraId="07E761A5" w14:textId="77777777" w:rsidR="00974C69" w:rsidRPr="002102FA" w:rsidRDefault="00974C69" w:rsidP="008F2A8A">
      <w:pPr>
        <w:spacing w:before="240" w:after="240" w:line="360" w:lineRule="auto"/>
        <w:jc w:val="both"/>
        <w:rPr>
          <w:rFonts w:asciiTheme="majorHAnsi" w:eastAsia="Verdana" w:hAnsiTheme="majorHAnsi" w:cstheme="majorHAnsi"/>
        </w:rPr>
      </w:pPr>
    </w:p>
    <w:p w14:paraId="5299A133"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Além dos documentos citados anteriormente, se fossemos considerar apenas os sistemas de medição, poderíamos citar também a ISO 10012 - Sistemas de gestão de medição - Requisitos para os processos de medição e equipamentos de medição.</w:t>
      </w:r>
    </w:p>
    <w:p w14:paraId="644C7955" w14:textId="1EAE032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Contudo, a ISO/IEC 17025 é a mais abrangente e internacionalmente aceita (por estar voltada tanto aos laboratórios de ensaios quanto de calibração, em qualquer área de atividade) e, por isso, será a base para </w:t>
      </w:r>
      <w:r w:rsidR="003473E0">
        <w:rPr>
          <w:rFonts w:asciiTheme="majorHAnsi" w:eastAsia="Verdana" w:hAnsiTheme="majorHAnsi" w:cstheme="majorHAnsi"/>
        </w:rPr>
        <w:t>o nosso curso daqui por diante.</w:t>
      </w:r>
    </w:p>
    <w:p w14:paraId="64D79EE6" w14:textId="77777777" w:rsidR="00974C69" w:rsidRPr="002102FA" w:rsidRDefault="00974C69" w:rsidP="008F2A8A">
      <w:pPr>
        <w:pStyle w:val="Ttulo1"/>
        <w:numPr>
          <w:ilvl w:val="0"/>
          <w:numId w:val="9"/>
        </w:numPr>
        <w:tabs>
          <w:tab w:val="left" w:pos="426"/>
        </w:tabs>
        <w:spacing w:before="480" w:line="360" w:lineRule="auto"/>
        <w:ind w:left="432" w:hanging="432"/>
        <w:rPr>
          <w:rFonts w:asciiTheme="majorHAnsi" w:eastAsia="Verdana" w:hAnsiTheme="majorHAnsi" w:cstheme="majorHAnsi"/>
        </w:rPr>
      </w:pPr>
      <w:bookmarkStart w:id="16" w:name="_Toc8656702"/>
      <w:bookmarkStart w:id="17" w:name="_Toc22564403"/>
      <w:r w:rsidRPr="002102FA">
        <w:rPr>
          <w:rFonts w:asciiTheme="majorHAnsi" w:eastAsia="Verdana" w:hAnsiTheme="majorHAnsi" w:cstheme="majorHAnsi"/>
        </w:rPr>
        <w:t>Acreditação e ISO/IEC 17025</w:t>
      </w:r>
      <w:bookmarkEnd w:id="16"/>
      <w:bookmarkEnd w:id="17"/>
    </w:p>
    <w:p w14:paraId="3EF7C269"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 acreditação na ISO/IEC 17025 é concedida para Laboratórios que realizam ensaios e/ou calibrações. </w:t>
      </w:r>
    </w:p>
    <w:p w14:paraId="41E9FC5A"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No site do Inmetro existe um documento orientativo chamado de </w:t>
      </w:r>
      <w:hyperlink r:id="rId28" w:history="1">
        <w:r w:rsidRPr="002102FA">
          <w:rPr>
            <w:rStyle w:val="Hyperlink"/>
            <w:rFonts w:asciiTheme="majorHAnsi" w:eastAsia="Verdana" w:hAnsiTheme="majorHAnsi" w:cstheme="majorHAnsi"/>
          </w:rPr>
          <w:t>DOQ-CGCRE-001</w:t>
        </w:r>
      </w:hyperlink>
      <w:r w:rsidRPr="002102FA">
        <w:rPr>
          <w:rFonts w:asciiTheme="majorHAnsi" w:eastAsia="Verdana" w:hAnsiTheme="majorHAnsi" w:cstheme="majorHAnsi"/>
        </w:rPr>
        <w:t>, esse documento serve para orientar no processo de solicitação da acreditação e possui informações importantes que podem facilitar esse processo.</w:t>
      </w:r>
    </w:p>
    <w:p w14:paraId="4882EA1A"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Os Laboratórios de calibração acreditados pela </w:t>
      </w:r>
      <w:proofErr w:type="spellStart"/>
      <w:r w:rsidRPr="002102FA">
        <w:rPr>
          <w:rFonts w:asciiTheme="majorHAnsi" w:eastAsia="Verdana" w:hAnsiTheme="majorHAnsi" w:cstheme="majorHAnsi"/>
        </w:rPr>
        <w:t>Cgcre</w:t>
      </w:r>
      <w:proofErr w:type="spellEnd"/>
      <w:r w:rsidRPr="002102FA">
        <w:rPr>
          <w:rFonts w:asciiTheme="majorHAnsi" w:eastAsia="Verdana" w:hAnsiTheme="majorHAnsi" w:cstheme="majorHAnsi"/>
        </w:rPr>
        <w:t xml:space="preserve"> de acordo com esta norma, passam a pertencer à Rede Brasileira de Calibração (RBC). Já os Laboratórios de Ensaios, na mesma condição, passam a pertencer à Rede Brasileira de Laboratórios de Ensaio (RBLE).</w:t>
      </w:r>
    </w:p>
    <w:p w14:paraId="615BC661"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Cada Rede possui o seu “código e número” de acreditação.</w:t>
      </w:r>
    </w:p>
    <w:p w14:paraId="18D65666" w14:textId="007133AC"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hAnsiTheme="majorHAnsi" w:cstheme="majorHAnsi"/>
          <w:noProof/>
          <w:lang w:eastAsia="pt-BR"/>
        </w:rPr>
        <w:lastRenderedPageBreak/>
        <w:drawing>
          <wp:anchor distT="0" distB="0" distL="114300" distR="114300" simplePos="0" relativeHeight="251676672" behindDoc="0" locked="0" layoutInCell="1" allowOverlap="1" wp14:anchorId="75BB1238" wp14:editId="4AF9C892">
            <wp:simplePos x="0" y="0"/>
            <wp:positionH relativeFrom="margin">
              <wp:align>left</wp:align>
            </wp:positionH>
            <wp:positionV relativeFrom="paragraph">
              <wp:posOffset>8466</wp:posOffset>
            </wp:positionV>
            <wp:extent cx="2800350" cy="1447800"/>
            <wp:effectExtent l="0" t="0" r="0" b="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00350" cy="1447800"/>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eastAsia="Verdana" w:hAnsiTheme="majorHAnsi" w:cstheme="majorHAnsi"/>
        </w:rPr>
        <w:t xml:space="preserve">Para fins de ilustração, criamos um Laboratório fictício que será usado como modelo. O nome do nosso Laboratório é </w:t>
      </w:r>
      <w:r w:rsidRPr="002102FA">
        <w:rPr>
          <w:rFonts w:asciiTheme="majorHAnsi" w:eastAsia="Verdana" w:hAnsiTheme="majorHAnsi" w:cstheme="majorHAnsi"/>
          <w:b/>
        </w:rPr>
        <w:t>LEC – Laboratório de Ensaio e Calibração</w:t>
      </w:r>
      <w:r w:rsidRPr="002102FA">
        <w:rPr>
          <w:rFonts w:asciiTheme="majorHAnsi" w:eastAsia="Verdana" w:hAnsiTheme="majorHAnsi" w:cstheme="majorHAnsi"/>
        </w:rPr>
        <w:t>. Considere que esse laboratório fictício é acreditado para a realização de ensaios e calibrações, por isso, ele possui dois “números de acreditação” identificados como CRL e CAL.</w:t>
      </w:r>
      <w:r w:rsidRPr="002102FA">
        <w:rPr>
          <w:rFonts w:asciiTheme="majorHAnsi" w:eastAsia="Verdana" w:hAnsiTheme="majorHAnsi" w:cstheme="majorHAnsi"/>
          <w:noProof/>
          <w:lang w:eastAsia="pt-BR"/>
        </w:rPr>
        <w:t xml:space="preserve"> </w:t>
      </w:r>
    </w:p>
    <w:p w14:paraId="71BD54C1"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O número “CRL” se refere à acreditação do laboratório de ensaio - e o número identificado como “CAL” se refere à acreditação do laboratório de calibração.</w:t>
      </w:r>
    </w:p>
    <w:p w14:paraId="076957D1" w14:textId="6A352604"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Nossos </w:t>
      </w:r>
      <w:r w:rsidRPr="002102FA">
        <w:rPr>
          <w:rFonts w:asciiTheme="majorHAnsi" w:eastAsia="Verdana" w:hAnsiTheme="majorHAnsi" w:cstheme="majorHAnsi"/>
          <w:b/>
        </w:rPr>
        <w:t>números fictícios</w:t>
      </w:r>
      <w:r w:rsidRPr="002102FA">
        <w:rPr>
          <w:rFonts w:asciiTheme="majorHAnsi" w:eastAsia="Verdana" w:hAnsiTheme="majorHAnsi" w:cstheme="majorHAnsi"/>
        </w:rPr>
        <w:t xml:space="preserve"> serão os seguintes:</w:t>
      </w:r>
    </w:p>
    <w:p w14:paraId="6F5AAF62" w14:textId="77777777" w:rsidR="00974C69" w:rsidRPr="002102FA" w:rsidRDefault="00974C69" w:rsidP="003473E0">
      <w:pPr>
        <w:pStyle w:val="PargrafodaLista"/>
        <w:widowControl w:val="0"/>
        <w:numPr>
          <w:ilvl w:val="0"/>
          <w:numId w:val="14"/>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CRL 0062</w:t>
      </w:r>
    </w:p>
    <w:p w14:paraId="0507473B" w14:textId="187E35B4" w:rsidR="00974C69" w:rsidRPr="002102FA" w:rsidRDefault="00974C69" w:rsidP="003473E0">
      <w:pPr>
        <w:pStyle w:val="PargrafodaLista"/>
        <w:widowControl w:val="0"/>
        <w:numPr>
          <w:ilvl w:val="0"/>
          <w:numId w:val="14"/>
        </w:numPr>
        <w:tabs>
          <w:tab w:val="left" w:pos="426"/>
        </w:tabs>
        <w:spacing w:before="120" w:after="120" w:line="360" w:lineRule="auto"/>
        <w:ind w:left="0" w:firstLine="0"/>
        <w:contextualSpacing w:val="0"/>
        <w:jc w:val="both"/>
        <w:rPr>
          <w:rFonts w:asciiTheme="majorHAnsi" w:hAnsiTheme="majorHAnsi" w:cstheme="majorHAnsi"/>
        </w:rPr>
      </w:pPr>
      <w:r w:rsidRPr="002102FA">
        <w:rPr>
          <w:rFonts w:asciiTheme="majorHAnsi" w:hAnsiTheme="majorHAnsi" w:cstheme="majorHAnsi"/>
        </w:rPr>
        <w:t>CAL 0068</w:t>
      </w:r>
    </w:p>
    <w:p w14:paraId="03444308" w14:textId="77777777" w:rsidR="00974C69" w:rsidRPr="002102FA" w:rsidRDefault="00974C69" w:rsidP="008F2A8A">
      <w:pPr>
        <w:pStyle w:val="PargrafodaLista"/>
        <w:spacing w:before="240" w:after="240" w:line="360" w:lineRule="auto"/>
        <w:ind w:left="0"/>
        <w:jc w:val="both"/>
        <w:rPr>
          <w:rFonts w:asciiTheme="majorHAnsi" w:hAnsiTheme="majorHAnsi" w:cstheme="majorHAnsi"/>
          <w:b/>
          <w:i/>
        </w:rPr>
      </w:pPr>
    </w:p>
    <w:p w14:paraId="6CCC3DE7" w14:textId="6533ECD6" w:rsidR="006A22BD" w:rsidRPr="002102FA" w:rsidRDefault="00974C69" w:rsidP="008F2A8A">
      <w:pPr>
        <w:pStyle w:val="PargrafodaLista"/>
        <w:spacing w:before="240" w:after="240" w:line="360" w:lineRule="auto"/>
        <w:ind w:left="0"/>
        <w:jc w:val="both"/>
        <w:rPr>
          <w:rFonts w:asciiTheme="majorHAnsi" w:hAnsiTheme="majorHAnsi" w:cstheme="majorHAnsi"/>
          <w:noProof/>
          <w:lang w:eastAsia="pt-BR"/>
        </w:rPr>
      </w:pPr>
      <w:r w:rsidRPr="002102FA">
        <w:rPr>
          <w:rFonts w:asciiTheme="majorHAnsi" w:hAnsiTheme="majorHAnsi" w:cstheme="majorHAnsi"/>
          <w:b/>
          <w:i/>
        </w:rPr>
        <w:t>Observação importante:</w:t>
      </w:r>
      <w:r w:rsidRPr="002102FA">
        <w:rPr>
          <w:rFonts w:asciiTheme="majorHAnsi" w:hAnsiTheme="majorHAnsi" w:cstheme="majorHAnsi"/>
          <w:i/>
        </w:rPr>
        <w:t xml:space="preserve"> No momento da elaboração deste curso, não havia laboratório algum acreditado com essa numeração. Portanto, esses números são fictícios e servem apenas para facilitar o entendimento dos </w:t>
      </w:r>
      <w:proofErr w:type="spellStart"/>
      <w:r w:rsidRPr="002102FA">
        <w:rPr>
          <w:rFonts w:asciiTheme="majorHAnsi" w:hAnsiTheme="majorHAnsi" w:cstheme="majorHAnsi"/>
          <w:i/>
        </w:rPr>
        <w:t>conteúdos.</w:t>
      </w:r>
      <w:r w:rsidRPr="002102FA">
        <w:rPr>
          <w:rFonts w:asciiTheme="majorHAnsi" w:eastAsia="Verdana" w:hAnsiTheme="majorHAnsi" w:cstheme="majorHAnsi"/>
        </w:rPr>
        <w:t>Então</w:t>
      </w:r>
      <w:proofErr w:type="spellEnd"/>
      <w:r w:rsidRPr="002102FA">
        <w:rPr>
          <w:rFonts w:asciiTheme="majorHAnsi" w:eastAsia="Verdana" w:hAnsiTheme="majorHAnsi" w:cstheme="majorHAnsi"/>
        </w:rPr>
        <w:t>, os “selos” desse laboratório seriam assim:</w:t>
      </w:r>
      <w:r w:rsidR="006A22BD" w:rsidRPr="002102FA">
        <w:rPr>
          <w:rFonts w:asciiTheme="majorHAnsi" w:hAnsiTheme="majorHAnsi" w:cstheme="majorHAnsi"/>
          <w:noProof/>
          <w:lang w:eastAsia="pt-BR"/>
        </w:rPr>
        <w:t xml:space="preserve"> </w:t>
      </w:r>
    </w:p>
    <w:p w14:paraId="726FC95E" w14:textId="135ED3F4" w:rsidR="00974C69" w:rsidRPr="002102FA" w:rsidRDefault="006A22BD" w:rsidP="008F2A8A">
      <w:pPr>
        <w:pStyle w:val="PargrafodaLista"/>
        <w:spacing w:before="240" w:after="240" w:line="360" w:lineRule="auto"/>
        <w:ind w:left="0"/>
        <w:jc w:val="center"/>
        <w:rPr>
          <w:rFonts w:asciiTheme="majorHAnsi" w:eastAsia="Verdana" w:hAnsiTheme="majorHAnsi" w:cstheme="majorHAnsi"/>
        </w:rPr>
      </w:pPr>
      <w:r w:rsidRPr="002102FA">
        <w:rPr>
          <w:rFonts w:asciiTheme="majorHAnsi" w:hAnsiTheme="majorHAnsi" w:cstheme="majorHAnsi"/>
          <w:noProof/>
          <w:lang w:eastAsia="pt-BR"/>
        </w:rPr>
        <w:drawing>
          <wp:inline distT="0" distB="0" distL="0" distR="0" wp14:anchorId="6ABE8192" wp14:editId="7185E157">
            <wp:extent cx="2760133" cy="2230793"/>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4514" cy="2234334"/>
                    </a:xfrm>
                    <a:prstGeom prst="rect">
                      <a:avLst/>
                    </a:prstGeom>
                  </pic:spPr>
                </pic:pic>
              </a:graphicData>
            </a:graphic>
          </wp:inline>
        </w:drawing>
      </w:r>
    </w:p>
    <w:p w14:paraId="506DA84E" w14:textId="6DA3DF7B" w:rsidR="00974C69"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Ambas as acreditações são concedidas para um determinado escopo, que é definido pelo laboratório.</w:t>
      </w:r>
    </w:p>
    <w:p w14:paraId="19DE9998" w14:textId="42C1532A" w:rsidR="00974C69" w:rsidRPr="002102FA" w:rsidRDefault="003473E0" w:rsidP="008F2A8A">
      <w:pPr>
        <w:pStyle w:val="Ttulo1"/>
        <w:numPr>
          <w:ilvl w:val="0"/>
          <w:numId w:val="9"/>
        </w:numPr>
        <w:tabs>
          <w:tab w:val="left" w:pos="426"/>
        </w:tabs>
        <w:spacing w:before="480" w:line="360" w:lineRule="auto"/>
        <w:ind w:left="432" w:hanging="432"/>
        <w:rPr>
          <w:rFonts w:asciiTheme="majorHAnsi" w:eastAsia="Verdana" w:hAnsiTheme="majorHAnsi" w:cstheme="majorHAnsi"/>
        </w:rPr>
      </w:pPr>
      <w:bookmarkStart w:id="18" w:name="_Toc8656703"/>
      <w:bookmarkStart w:id="19" w:name="_Toc22564404"/>
      <w:r w:rsidRPr="002102FA">
        <w:rPr>
          <w:rFonts w:asciiTheme="majorHAnsi" w:hAnsiTheme="majorHAnsi" w:cstheme="majorHAnsi"/>
          <w:noProof/>
        </w:rPr>
        <w:lastRenderedPageBreak/>
        <w:drawing>
          <wp:anchor distT="0" distB="0" distL="114300" distR="114300" simplePos="0" relativeHeight="251677696" behindDoc="0" locked="0" layoutInCell="1" allowOverlap="1" wp14:anchorId="69DE44D2" wp14:editId="03963069">
            <wp:simplePos x="0" y="0"/>
            <wp:positionH relativeFrom="column">
              <wp:posOffset>-178435</wp:posOffset>
            </wp:positionH>
            <wp:positionV relativeFrom="paragraph">
              <wp:posOffset>686223</wp:posOffset>
            </wp:positionV>
            <wp:extent cx="1481455" cy="2268855"/>
            <wp:effectExtent l="0" t="0" r="4445"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81455" cy="2268855"/>
                    </a:xfrm>
                    <a:prstGeom prst="rect">
                      <a:avLst/>
                    </a:prstGeom>
                  </pic:spPr>
                </pic:pic>
              </a:graphicData>
            </a:graphic>
            <wp14:sizeRelH relativeFrom="page">
              <wp14:pctWidth>0</wp14:pctWidth>
            </wp14:sizeRelH>
            <wp14:sizeRelV relativeFrom="page">
              <wp14:pctHeight>0</wp14:pctHeight>
            </wp14:sizeRelV>
          </wp:anchor>
        </w:drawing>
      </w:r>
      <w:r w:rsidR="00974C69" w:rsidRPr="002102FA">
        <w:rPr>
          <w:rFonts w:asciiTheme="majorHAnsi" w:eastAsia="Verdana" w:hAnsiTheme="majorHAnsi" w:cstheme="majorHAnsi"/>
        </w:rPr>
        <w:t>Laboratório de Ensaio</w:t>
      </w:r>
      <w:bookmarkEnd w:id="18"/>
      <w:bookmarkEnd w:id="19"/>
    </w:p>
    <w:p w14:paraId="0BB72D38" w14:textId="0864F001"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Para laboratórios de ensaio, o escopo é definido por Áreas de Atividade (área na qual se agrupam as atividades econômicas nas quais são produzidos ou obtidos os objetos de ensaio), em seguida por Classes de ensaio (conjunto de ensaios relacionados a uma ou mais grandezas) e por fim no ensaio em si, que está baseado em um método.</w:t>
      </w:r>
    </w:p>
    <w:p w14:paraId="0D4E7E63"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Exemplo:</w:t>
      </w:r>
    </w:p>
    <w:p w14:paraId="1753428E"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Área de atividade: Metalurgia</w:t>
      </w:r>
    </w:p>
    <w:p w14:paraId="702D09F7"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Classe de Ensaios: Ensaios Mecânicos</w:t>
      </w:r>
    </w:p>
    <w:p w14:paraId="0AE43468"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Ensaio: Materiais Metálicos – Ensaio de Tração. Parte 1: Método de Ensaio à temperatura ambiente -  NBR ISO 6892-1:2013</w:t>
      </w:r>
    </w:p>
    <w:p w14:paraId="6FBB2E01"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 </w:t>
      </w:r>
      <w:proofErr w:type="spellStart"/>
      <w:r w:rsidRPr="002102FA">
        <w:rPr>
          <w:rFonts w:asciiTheme="majorHAnsi" w:eastAsia="Verdana" w:hAnsiTheme="majorHAnsi" w:cstheme="majorHAnsi"/>
        </w:rPr>
        <w:t>Cgcre</w:t>
      </w:r>
      <w:proofErr w:type="spellEnd"/>
      <w:r w:rsidRPr="002102FA">
        <w:rPr>
          <w:rFonts w:asciiTheme="majorHAnsi" w:eastAsia="Verdana" w:hAnsiTheme="majorHAnsi" w:cstheme="majorHAnsi"/>
        </w:rPr>
        <w:t xml:space="preserve"> disponibiliza no site do Inmetro, o </w:t>
      </w:r>
      <w:hyperlink r:id="rId32" w:history="1">
        <w:r w:rsidRPr="002102FA">
          <w:rPr>
            <w:rStyle w:val="Hyperlink"/>
            <w:rFonts w:asciiTheme="majorHAnsi" w:eastAsia="Verdana" w:hAnsiTheme="majorHAnsi" w:cstheme="majorHAnsi"/>
          </w:rPr>
          <w:t>NIT-DICLA-016</w:t>
        </w:r>
      </w:hyperlink>
      <w:r w:rsidRPr="002102FA">
        <w:rPr>
          <w:rFonts w:asciiTheme="majorHAnsi" w:eastAsia="Verdana" w:hAnsiTheme="majorHAnsi" w:cstheme="majorHAnsi"/>
        </w:rPr>
        <w:t xml:space="preserve"> – Elaboração de Escopo de Laboratórios de Ensaios e de Provedores de Ensaios de</w:t>
      </w:r>
      <w:r w:rsidRPr="002102FA">
        <w:rPr>
          <w:rFonts w:asciiTheme="majorHAnsi" w:hAnsiTheme="majorHAnsi" w:cstheme="majorHAnsi"/>
        </w:rPr>
        <w:t xml:space="preserve"> </w:t>
      </w:r>
      <w:r w:rsidRPr="002102FA">
        <w:rPr>
          <w:rFonts w:asciiTheme="majorHAnsi" w:eastAsia="Verdana" w:hAnsiTheme="majorHAnsi" w:cstheme="majorHAnsi"/>
        </w:rPr>
        <w:t>Proficiência – que é um documento normativo para a elaboração do escopo do laboratório.</w:t>
      </w:r>
    </w:p>
    <w:p w14:paraId="7AE0CD5A" w14:textId="77777777" w:rsidR="00974C69" w:rsidRPr="002102FA" w:rsidRDefault="00974C69" w:rsidP="008F2A8A">
      <w:pPr>
        <w:spacing w:before="240" w:after="240" w:line="360" w:lineRule="auto"/>
        <w:jc w:val="both"/>
        <w:rPr>
          <w:rFonts w:asciiTheme="majorHAnsi" w:eastAsia="Verdana" w:hAnsiTheme="majorHAnsi" w:cstheme="majorHAnsi"/>
          <w:b/>
        </w:rPr>
      </w:pPr>
      <w:r w:rsidRPr="002102FA">
        <w:rPr>
          <w:rFonts w:asciiTheme="majorHAnsi" w:eastAsia="Verdana" w:hAnsiTheme="majorHAnsi" w:cstheme="majorHAnsi"/>
          <w:b/>
        </w:rPr>
        <w:t xml:space="preserve">Se você quiser “passear” pelo escopo de laboratórios acreditados na área de ensaios, acesse o link </w:t>
      </w:r>
      <w:hyperlink r:id="rId33" w:history="1">
        <w:r w:rsidRPr="002102FA">
          <w:rPr>
            <w:rStyle w:val="Hyperlink"/>
            <w:rFonts w:asciiTheme="majorHAnsi" w:eastAsia="Verdana" w:hAnsiTheme="majorHAnsi" w:cstheme="majorHAnsi"/>
            <w:b/>
          </w:rPr>
          <w:t>http://www.inmetro.gov.br/laboratorios/rble/</w:t>
        </w:r>
      </w:hyperlink>
      <w:r w:rsidRPr="002102FA">
        <w:rPr>
          <w:rFonts w:asciiTheme="majorHAnsi" w:eastAsia="Verdana" w:hAnsiTheme="majorHAnsi" w:cstheme="majorHAnsi"/>
          <w:b/>
        </w:rPr>
        <w:t>.</w:t>
      </w:r>
    </w:p>
    <w:p w14:paraId="598B036E" w14:textId="6C9CF4CA" w:rsidR="003473E0" w:rsidRPr="003473E0" w:rsidRDefault="00974C69" w:rsidP="003473E0">
      <w:pPr>
        <w:pStyle w:val="Ttulo1"/>
        <w:numPr>
          <w:ilvl w:val="0"/>
          <w:numId w:val="9"/>
        </w:numPr>
        <w:tabs>
          <w:tab w:val="left" w:pos="426"/>
        </w:tabs>
        <w:spacing w:before="480" w:line="360" w:lineRule="auto"/>
        <w:ind w:left="432" w:hanging="432"/>
        <w:rPr>
          <w:rFonts w:asciiTheme="majorHAnsi" w:eastAsia="Verdana" w:hAnsiTheme="majorHAnsi" w:cstheme="majorHAnsi"/>
        </w:rPr>
      </w:pPr>
      <w:bookmarkStart w:id="20" w:name="_Toc8656704"/>
      <w:bookmarkStart w:id="21" w:name="_Toc22564405"/>
      <w:r w:rsidRPr="002102FA">
        <w:rPr>
          <w:rFonts w:asciiTheme="majorHAnsi" w:hAnsiTheme="majorHAnsi" w:cstheme="majorHAnsi"/>
          <w:noProof/>
        </w:rPr>
        <w:drawing>
          <wp:anchor distT="0" distB="0" distL="114300" distR="114300" simplePos="0" relativeHeight="251678720" behindDoc="1" locked="0" layoutInCell="1" allowOverlap="1" wp14:anchorId="0716B7BA" wp14:editId="5AEB9019">
            <wp:simplePos x="0" y="0"/>
            <wp:positionH relativeFrom="margin">
              <wp:align>left</wp:align>
            </wp:positionH>
            <wp:positionV relativeFrom="paragraph">
              <wp:posOffset>528531</wp:posOffset>
            </wp:positionV>
            <wp:extent cx="1346200" cy="2150110"/>
            <wp:effectExtent l="0" t="0" r="6350" b="2540"/>
            <wp:wrapTight wrapText="bothSides">
              <wp:wrapPolygon edited="0">
                <wp:start x="0" y="0"/>
                <wp:lineTo x="0" y="21434"/>
                <wp:lineTo x="21396" y="21434"/>
                <wp:lineTo x="21396" y="0"/>
                <wp:lineTo x="0" y="0"/>
              </wp:wrapPolygon>
            </wp:wrapTight>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46200" cy="2150110"/>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eastAsia="Verdana" w:hAnsiTheme="majorHAnsi" w:cstheme="majorHAnsi"/>
        </w:rPr>
        <w:t>Laboratório de Calibração</w:t>
      </w:r>
      <w:bookmarkEnd w:id="20"/>
      <w:bookmarkEnd w:id="21"/>
    </w:p>
    <w:p w14:paraId="4691CFFE"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Para laboratórios de calibração, o escopo é definido por serviços de calibração, faixas e capacidades de medição e calibração (CMC).</w:t>
      </w:r>
    </w:p>
    <w:p w14:paraId="62E51924" w14:textId="77777777" w:rsidR="00974C69" w:rsidRPr="002102FA" w:rsidRDefault="00974C69" w:rsidP="008F2A8A">
      <w:pPr>
        <w:spacing w:before="240" w:after="240" w:line="360" w:lineRule="auto"/>
        <w:jc w:val="both"/>
        <w:rPr>
          <w:rFonts w:asciiTheme="majorHAnsi" w:eastAsia="Verdana" w:hAnsiTheme="majorHAnsi" w:cstheme="majorHAnsi"/>
          <w:b/>
        </w:rPr>
      </w:pPr>
      <w:r w:rsidRPr="002102FA">
        <w:rPr>
          <w:rFonts w:asciiTheme="majorHAnsi" w:eastAsia="Verdana" w:hAnsiTheme="majorHAnsi" w:cstheme="majorHAnsi"/>
          <w:b/>
        </w:rPr>
        <w:t>Veja um exemplo:</w:t>
      </w:r>
    </w:p>
    <w:p w14:paraId="0A025A11"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u w:val="single"/>
        </w:rPr>
        <w:t>Serviço de Calibração:</w:t>
      </w:r>
      <w:r w:rsidRPr="002102FA">
        <w:rPr>
          <w:rFonts w:asciiTheme="majorHAnsi" w:eastAsia="Verdana" w:hAnsiTheme="majorHAnsi" w:cstheme="majorHAnsi"/>
        </w:rPr>
        <w:t xml:space="preserve"> Dimensional</w:t>
      </w:r>
    </w:p>
    <w:p w14:paraId="1745E571"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u w:val="single"/>
        </w:rPr>
        <w:t>Subgrupo:</w:t>
      </w:r>
      <w:r w:rsidRPr="002102FA">
        <w:rPr>
          <w:rFonts w:asciiTheme="majorHAnsi" w:eastAsia="Verdana" w:hAnsiTheme="majorHAnsi" w:cstheme="majorHAnsi"/>
        </w:rPr>
        <w:t xml:space="preserve"> Instrumentos e gabaritos de medição de comprimento</w:t>
      </w:r>
    </w:p>
    <w:p w14:paraId="6F7FDA6B"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u w:val="single"/>
        </w:rPr>
        <w:t>Serviço:</w:t>
      </w:r>
      <w:r w:rsidRPr="002102FA">
        <w:rPr>
          <w:rFonts w:asciiTheme="majorHAnsi" w:eastAsia="Verdana" w:hAnsiTheme="majorHAnsi" w:cstheme="majorHAnsi"/>
        </w:rPr>
        <w:t xml:space="preserve"> Paquímetro</w:t>
      </w:r>
    </w:p>
    <w:p w14:paraId="16EB27D2"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Assim como para ensaios, há um documento normativo da </w:t>
      </w:r>
      <w:proofErr w:type="spellStart"/>
      <w:r w:rsidRPr="002102FA">
        <w:rPr>
          <w:rFonts w:asciiTheme="majorHAnsi" w:eastAsia="Verdana" w:hAnsiTheme="majorHAnsi" w:cstheme="majorHAnsi"/>
        </w:rPr>
        <w:t>Cgcre</w:t>
      </w:r>
      <w:proofErr w:type="spellEnd"/>
      <w:r w:rsidRPr="002102FA">
        <w:rPr>
          <w:rFonts w:asciiTheme="majorHAnsi" w:eastAsia="Verdana" w:hAnsiTheme="majorHAnsi" w:cstheme="majorHAnsi"/>
        </w:rPr>
        <w:t xml:space="preserve"> para elaboração do escopo de calibração para ser acreditado, o NIT-DICLA-012 – Relação padronizada de serviços acreditados para Laboratórios de Calibração.</w:t>
      </w:r>
    </w:p>
    <w:p w14:paraId="56635AF6" w14:textId="77777777" w:rsidR="00974C69" w:rsidRPr="002102FA" w:rsidRDefault="00974C69" w:rsidP="008F2A8A">
      <w:pPr>
        <w:spacing w:before="240" w:after="240" w:line="360" w:lineRule="auto"/>
        <w:jc w:val="both"/>
        <w:rPr>
          <w:rFonts w:asciiTheme="majorHAnsi" w:eastAsia="Verdana" w:hAnsiTheme="majorHAnsi" w:cstheme="majorHAnsi"/>
          <w:b/>
        </w:rPr>
      </w:pPr>
      <w:r w:rsidRPr="002102FA">
        <w:rPr>
          <w:rFonts w:asciiTheme="majorHAnsi" w:eastAsia="Verdana" w:hAnsiTheme="majorHAnsi" w:cstheme="majorHAnsi"/>
          <w:b/>
        </w:rPr>
        <w:lastRenderedPageBreak/>
        <w:t xml:space="preserve">Se você quiser “passear” pelo escopo de laboratórios acreditados na área de calibração, acesse o link </w:t>
      </w:r>
      <w:hyperlink r:id="rId35" w:history="1">
        <w:r w:rsidRPr="002102FA">
          <w:rPr>
            <w:rStyle w:val="Hyperlink"/>
            <w:rFonts w:asciiTheme="majorHAnsi" w:eastAsia="Verdana" w:hAnsiTheme="majorHAnsi" w:cstheme="majorHAnsi"/>
            <w:b/>
          </w:rPr>
          <w:t>http://www.inmetro.gov.br/laboratorios/rbc/</w:t>
        </w:r>
      </w:hyperlink>
      <w:r w:rsidRPr="002102FA">
        <w:rPr>
          <w:rFonts w:asciiTheme="majorHAnsi" w:eastAsia="Verdana" w:hAnsiTheme="majorHAnsi" w:cstheme="majorHAnsi"/>
          <w:b/>
        </w:rPr>
        <w:t>.</w:t>
      </w:r>
    </w:p>
    <w:p w14:paraId="3CA567A2" w14:textId="77777777" w:rsidR="00974C69" w:rsidRPr="002102FA" w:rsidRDefault="00974C69" w:rsidP="008F2A8A">
      <w:pPr>
        <w:spacing w:before="240" w:after="240" w:line="360" w:lineRule="auto"/>
        <w:jc w:val="both"/>
        <w:rPr>
          <w:rFonts w:asciiTheme="majorHAnsi" w:eastAsia="Verdana" w:hAnsiTheme="majorHAnsi" w:cstheme="majorHAnsi"/>
          <w:b/>
        </w:rPr>
      </w:pPr>
      <w:r w:rsidRPr="002102FA">
        <w:rPr>
          <w:rFonts w:asciiTheme="majorHAnsi" w:eastAsia="Verdana" w:hAnsiTheme="majorHAnsi" w:cstheme="majorHAnsi"/>
          <w:b/>
        </w:rPr>
        <w:t>Para conhecer alguns documentos que podem auxiliar no processo de implantação da NBR ISO/IEC 17025, acesse o link:</w:t>
      </w:r>
    </w:p>
    <w:p w14:paraId="30858AA5" w14:textId="77777777" w:rsidR="00974C69" w:rsidRPr="002102FA" w:rsidRDefault="001F59D2" w:rsidP="008F2A8A">
      <w:pPr>
        <w:spacing w:before="240" w:after="240" w:line="360" w:lineRule="auto"/>
        <w:jc w:val="both"/>
        <w:rPr>
          <w:rFonts w:asciiTheme="majorHAnsi" w:eastAsia="Verdana" w:hAnsiTheme="majorHAnsi" w:cstheme="majorHAnsi"/>
          <w:b/>
          <w:color w:val="2E74B5" w:themeColor="accent1" w:themeShade="BF"/>
        </w:rPr>
      </w:pPr>
      <w:hyperlink r:id="rId36" w:history="1">
        <w:r w:rsidR="00974C69" w:rsidRPr="002102FA">
          <w:rPr>
            <w:rStyle w:val="Hyperlink"/>
            <w:rFonts w:asciiTheme="majorHAnsi" w:eastAsia="Verdana" w:hAnsiTheme="majorHAnsi" w:cstheme="majorHAnsi"/>
            <w:b/>
          </w:rPr>
          <w:t>http://www.inmetro.gov.br/credenciamento/organismos/doc_organismos.asp?tOrganismo=CalibEnsaios</w:t>
        </w:r>
      </w:hyperlink>
      <w:r w:rsidR="00974C69" w:rsidRPr="002102FA">
        <w:rPr>
          <w:rFonts w:asciiTheme="majorHAnsi" w:eastAsia="Verdana" w:hAnsiTheme="majorHAnsi" w:cstheme="majorHAnsi"/>
          <w:b/>
          <w:color w:val="2E74B5" w:themeColor="accent1" w:themeShade="BF"/>
        </w:rPr>
        <w:t xml:space="preserve">. </w:t>
      </w:r>
    </w:p>
    <w:p w14:paraId="0E2498C9"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Estes, são documentos orientativos, documentos normativos e formulários que incluem todos os tipos de informações necessárias para o processo de acreditação.</w:t>
      </w:r>
    </w:p>
    <w:p w14:paraId="2D061D61" w14:textId="77777777" w:rsidR="00974C69" w:rsidRPr="002102FA" w:rsidRDefault="00974C69" w:rsidP="008F2A8A">
      <w:pPr>
        <w:spacing w:before="240" w:after="240" w:line="360" w:lineRule="auto"/>
        <w:jc w:val="both"/>
        <w:rPr>
          <w:rFonts w:asciiTheme="majorHAnsi" w:eastAsia="Verdana" w:hAnsiTheme="majorHAnsi" w:cstheme="majorHAnsi"/>
        </w:rPr>
      </w:pPr>
    </w:p>
    <w:p w14:paraId="5EA1DB38" w14:textId="77777777" w:rsidR="00974C69" w:rsidRPr="002102FA" w:rsidRDefault="00974C69" w:rsidP="008F2A8A">
      <w:pPr>
        <w:spacing w:before="240" w:after="240" w:line="360" w:lineRule="auto"/>
        <w:jc w:val="both"/>
        <w:rPr>
          <w:rFonts w:asciiTheme="majorHAnsi" w:eastAsia="Verdana" w:hAnsiTheme="majorHAnsi" w:cstheme="majorHAnsi"/>
        </w:rPr>
      </w:pPr>
      <w:r w:rsidRPr="002102FA">
        <w:rPr>
          <w:rFonts w:asciiTheme="majorHAnsi" w:eastAsia="Verdana" w:hAnsiTheme="majorHAnsi" w:cstheme="majorHAnsi"/>
        </w:rPr>
        <w:t xml:space="preserve">Bom, agora que já entendemos alguns conceitos básicos relacionados a norma </w:t>
      </w:r>
      <w:r w:rsidRPr="002102FA">
        <w:rPr>
          <w:rFonts w:asciiTheme="majorHAnsi" w:hAnsiTheme="majorHAnsi" w:cstheme="majorHAnsi"/>
        </w:rPr>
        <w:t>ISO/IEC 17025, vamos conhecer um pouco mais sobre ela</w:t>
      </w:r>
      <w:r w:rsidRPr="002102FA">
        <w:rPr>
          <w:rFonts w:asciiTheme="majorHAnsi" w:eastAsia="Verdana" w:hAnsiTheme="majorHAnsi" w:cstheme="majorHAnsi"/>
        </w:rPr>
        <w:t xml:space="preserve">? </w:t>
      </w:r>
    </w:p>
    <w:p w14:paraId="0263CA0A" w14:textId="77777777" w:rsidR="00974C69" w:rsidRPr="002102FA" w:rsidRDefault="00974C69" w:rsidP="008F2A8A">
      <w:pPr>
        <w:spacing w:before="240" w:after="240" w:line="360" w:lineRule="auto"/>
        <w:rPr>
          <w:rFonts w:asciiTheme="majorHAnsi" w:hAnsiTheme="majorHAnsi" w:cstheme="majorHAnsi"/>
        </w:rPr>
      </w:pPr>
      <w:r w:rsidRPr="002102FA">
        <w:rPr>
          <w:rFonts w:asciiTheme="majorHAnsi" w:hAnsiTheme="majorHAnsi" w:cstheme="majorHAnsi"/>
        </w:rPr>
        <w:t>Vamos começar com um breve histórico...</w:t>
      </w:r>
    </w:p>
    <w:p w14:paraId="494A9B2D" w14:textId="77777777" w:rsidR="00974C69" w:rsidRPr="002102FA" w:rsidRDefault="00974C69" w:rsidP="008F2A8A">
      <w:pPr>
        <w:pStyle w:val="Ttulo1"/>
        <w:numPr>
          <w:ilvl w:val="0"/>
          <w:numId w:val="9"/>
        </w:numPr>
        <w:tabs>
          <w:tab w:val="left" w:pos="567"/>
        </w:tabs>
        <w:spacing w:before="480" w:line="360" w:lineRule="auto"/>
        <w:ind w:left="432" w:hanging="432"/>
        <w:rPr>
          <w:rFonts w:asciiTheme="majorHAnsi" w:eastAsia="Verdana" w:hAnsiTheme="majorHAnsi" w:cstheme="majorHAnsi"/>
        </w:rPr>
      </w:pPr>
      <w:bookmarkStart w:id="22" w:name="_Toc8656705"/>
      <w:bookmarkStart w:id="23" w:name="_Toc22564406"/>
      <w:r w:rsidRPr="002102FA">
        <w:rPr>
          <w:rFonts w:asciiTheme="majorHAnsi" w:eastAsia="Verdana" w:hAnsiTheme="majorHAnsi" w:cstheme="majorHAnsi"/>
        </w:rPr>
        <w:t xml:space="preserve">NBR </w:t>
      </w:r>
      <w:r w:rsidRPr="002102FA">
        <w:rPr>
          <w:rFonts w:asciiTheme="majorHAnsi" w:hAnsiTheme="majorHAnsi" w:cstheme="majorHAnsi"/>
        </w:rPr>
        <w:t>ISO/IEC 17025 – Um breve histórico</w:t>
      </w:r>
      <w:bookmarkEnd w:id="22"/>
      <w:bookmarkEnd w:id="23"/>
    </w:p>
    <w:p w14:paraId="4E2FFA5F"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drawing>
          <wp:anchor distT="0" distB="0" distL="114300" distR="114300" simplePos="0" relativeHeight="251687936" behindDoc="0" locked="0" layoutInCell="1" allowOverlap="1" wp14:anchorId="5CC57D15" wp14:editId="1F5C7BF4">
            <wp:simplePos x="0" y="0"/>
            <wp:positionH relativeFrom="column">
              <wp:posOffset>1270</wp:posOffset>
            </wp:positionH>
            <wp:positionV relativeFrom="paragraph">
              <wp:posOffset>64135</wp:posOffset>
            </wp:positionV>
            <wp:extent cx="2209800" cy="1758437"/>
            <wp:effectExtent l="0" t="0" r="0" b="0"/>
            <wp:wrapSquare wrapText="bothSides"/>
            <wp:docPr id="22" name="Imagem 22" descr="https://rp2m-entib.org.br/rp2m/imagens/RP2M_17025_A01_10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m-entib.org.br/rp2m/imagens/RP2M_17025_A01_10_IS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7584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2FA">
        <w:rPr>
          <w:rFonts w:asciiTheme="majorHAnsi" w:hAnsiTheme="majorHAnsi" w:cstheme="majorHAnsi"/>
        </w:rPr>
        <w:t>No ano de 1978 surgiu a primeira versão do ISO/IEC Guia 25, essa edição apresentava requisitos puramente técnicos e específicos para laboratórios de ensaio, ele não contemplava laboratórios de calibração.</w:t>
      </w:r>
    </w:p>
    <w:p w14:paraId="21A4E402"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 xml:space="preserve">Em 1982 surgiu a segunda edição do Guia 25, depois de a própria </w:t>
      </w:r>
      <w:proofErr w:type="spellStart"/>
      <w:r w:rsidRPr="002102FA">
        <w:rPr>
          <w:rFonts w:asciiTheme="majorHAnsi" w:hAnsiTheme="majorHAnsi" w:cstheme="majorHAnsi"/>
        </w:rPr>
        <w:t>International</w:t>
      </w:r>
      <w:proofErr w:type="spellEnd"/>
      <w:r w:rsidRPr="002102FA">
        <w:rPr>
          <w:rFonts w:asciiTheme="majorHAnsi" w:hAnsiTheme="majorHAnsi" w:cstheme="majorHAnsi"/>
        </w:rPr>
        <w:t xml:space="preserve"> </w:t>
      </w:r>
      <w:proofErr w:type="spellStart"/>
      <w:r w:rsidRPr="002102FA">
        <w:rPr>
          <w:rFonts w:asciiTheme="majorHAnsi" w:hAnsiTheme="majorHAnsi" w:cstheme="majorHAnsi"/>
        </w:rPr>
        <w:t>Organization</w:t>
      </w:r>
      <w:proofErr w:type="spellEnd"/>
      <w:r w:rsidRPr="002102FA">
        <w:rPr>
          <w:rFonts w:asciiTheme="majorHAnsi" w:hAnsiTheme="majorHAnsi" w:cstheme="majorHAnsi"/>
        </w:rPr>
        <w:t xml:space="preserve"> </w:t>
      </w:r>
      <w:proofErr w:type="spellStart"/>
      <w:r w:rsidRPr="002102FA">
        <w:rPr>
          <w:rFonts w:asciiTheme="majorHAnsi" w:hAnsiTheme="majorHAnsi" w:cstheme="majorHAnsi"/>
        </w:rPr>
        <w:t>Standardization</w:t>
      </w:r>
      <w:proofErr w:type="spellEnd"/>
      <w:r w:rsidRPr="002102FA">
        <w:rPr>
          <w:rFonts w:asciiTheme="majorHAnsi" w:hAnsiTheme="majorHAnsi" w:cstheme="majorHAnsi"/>
        </w:rPr>
        <w:t xml:space="preserve"> (ISO) reconhecer que os requisitos do Guia 25 também eram aplicáveis a laboratórios de calibração.</w:t>
      </w:r>
    </w:p>
    <w:p w14:paraId="4DCBDDDE"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O documento passou a ter destaque internacional, pois os organismos de acreditação passaram a utilizá-lo como documento de referência para avaliar a competência dos laboratórios interessados em obter acreditação ou já acreditados.</w:t>
      </w:r>
    </w:p>
    <w:p w14:paraId="210B6FE2"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Na Europa, a norma para reconhecer a competência dos ensaios e calibrações realizadas pelos laboratórios era a EN 45001, pois o ISO Guia 25 não era aceito. Mas, tanto a ISO Guia 25 como a EN 45001 continham níveis de detalhamento insuficientes para permitir aplicação e interpretação consistentes. Então, para suprir essas lacunas, a ISO iniciou em 1995 a revisão da ISO Guia 25 e desta revisão surgiu a norma ISO/IEC 17025 - Requisitos gerais para a competência de laboratórios de ensaio e calibração</w:t>
      </w:r>
    </w:p>
    <w:p w14:paraId="4ECFE999"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lastRenderedPageBreak/>
        <w:t xml:space="preserve">Esta norma foi oficialmente datada de 15 de dezembro de 1999 e publicada internacionalmente no início do ano 2000. No Brasil, foi publicada pela </w:t>
      </w:r>
      <w:proofErr w:type="gramStart"/>
      <w:r w:rsidRPr="002102FA">
        <w:rPr>
          <w:rFonts w:asciiTheme="majorHAnsi" w:hAnsiTheme="majorHAnsi" w:cstheme="majorHAnsi"/>
        </w:rPr>
        <w:t>ABNT  em</w:t>
      </w:r>
      <w:proofErr w:type="gramEnd"/>
      <w:r w:rsidRPr="002102FA">
        <w:rPr>
          <w:rFonts w:asciiTheme="majorHAnsi" w:hAnsiTheme="majorHAnsi" w:cstheme="majorHAnsi"/>
        </w:rPr>
        <w:t xml:space="preserve"> janeiro de 2001.</w:t>
      </w:r>
    </w:p>
    <w:p w14:paraId="19416AC6"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Em 2005, uma nova versão da norma foi publicada.</w:t>
      </w:r>
    </w:p>
    <w:p w14:paraId="7DA9FFBF"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A versão vigente e atual da ISO/IEC 17025 foi publicada no final de 2017.</w:t>
      </w:r>
    </w:p>
    <w:p w14:paraId="7DC55013" w14:textId="77777777" w:rsidR="00974C69" w:rsidRPr="002102FA" w:rsidRDefault="00974C69" w:rsidP="008F2A8A">
      <w:pPr>
        <w:spacing w:before="240" w:after="240" w:line="360" w:lineRule="auto"/>
        <w:jc w:val="both"/>
        <w:rPr>
          <w:rFonts w:asciiTheme="majorHAnsi" w:hAnsiTheme="majorHAnsi" w:cstheme="majorHAnsi"/>
        </w:rPr>
      </w:pPr>
      <w:r w:rsidRPr="002102FA">
        <w:rPr>
          <w:rFonts w:asciiTheme="majorHAnsi" w:hAnsiTheme="majorHAnsi" w:cstheme="majorHAnsi"/>
        </w:rPr>
        <w:t>Dizer que um Laboratório possui acreditação ISO/IEC 17025 significa dizer que:</w:t>
      </w:r>
    </w:p>
    <w:p w14:paraId="159DD554" w14:textId="77777777" w:rsidR="00974C69" w:rsidRPr="002102FA" w:rsidRDefault="00974C69" w:rsidP="008F2A8A">
      <w:pPr>
        <w:pStyle w:val="PargrafodaLista"/>
        <w:widowControl w:val="0"/>
        <w:numPr>
          <w:ilvl w:val="0"/>
          <w:numId w:val="11"/>
        </w:numPr>
        <w:tabs>
          <w:tab w:val="left" w:pos="426"/>
        </w:tabs>
        <w:spacing w:before="240" w:after="240" w:line="360" w:lineRule="auto"/>
        <w:ind w:left="0" w:firstLine="0"/>
        <w:contextualSpacing w:val="0"/>
        <w:rPr>
          <w:rFonts w:asciiTheme="majorHAnsi" w:hAnsiTheme="majorHAnsi" w:cstheme="majorHAnsi"/>
        </w:rPr>
      </w:pPr>
      <w:r w:rsidRPr="002102FA">
        <w:rPr>
          <w:rFonts w:asciiTheme="majorHAnsi" w:hAnsiTheme="majorHAnsi" w:cstheme="majorHAnsi"/>
        </w:rPr>
        <w:t>Possui um sistema de gestão estabelecido;</w:t>
      </w:r>
    </w:p>
    <w:p w14:paraId="630DA4B2" w14:textId="77777777" w:rsidR="00974C69" w:rsidRPr="002102FA" w:rsidRDefault="00974C69" w:rsidP="008F2A8A">
      <w:pPr>
        <w:pStyle w:val="PargrafodaLista"/>
        <w:widowControl w:val="0"/>
        <w:numPr>
          <w:ilvl w:val="0"/>
          <w:numId w:val="11"/>
        </w:numPr>
        <w:tabs>
          <w:tab w:val="left" w:pos="426"/>
        </w:tabs>
        <w:autoSpaceDE w:val="0"/>
        <w:autoSpaceDN w:val="0"/>
        <w:adjustRightInd w:val="0"/>
        <w:spacing w:before="240" w:after="240" w:line="360" w:lineRule="auto"/>
        <w:ind w:left="0" w:firstLine="0"/>
        <w:contextualSpacing w:val="0"/>
        <w:rPr>
          <w:rFonts w:asciiTheme="majorHAnsi" w:hAnsiTheme="majorHAnsi" w:cstheme="majorHAnsi"/>
        </w:rPr>
      </w:pPr>
      <w:r w:rsidRPr="002102FA">
        <w:rPr>
          <w:rFonts w:asciiTheme="majorHAnsi" w:hAnsiTheme="majorHAnsi" w:cstheme="majorHAnsi"/>
        </w:rPr>
        <w:t>É capaz de gerar resultados tecnicamente válidos;</w:t>
      </w:r>
    </w:p>
    <w:p w14:paraId="1D742ED0" w14:textId="77777777" w:rsidR="00974C69" w:rsidRPr="002102FA" w:rsidRDefault="00974C69" w:rsidP="008F2A8A">
      <w:pPr>
        <w:pStyle w:val="PargrafodaLista"/>
        <w:widowControl w:val="0"/>
        <w:numPr>
          <w:ilvl w:val="0"/>
          <w:numId w:val="11"/>
        </w:numPr>
        <w:tabs>
          <w:tab w:val="left" w:pos="426"/>
        </w:tabs>
        <w:autoSpaceDE w:val="0"/>
        <w:autoSpaceDN w:val="0"/>
        <w:adjustRightInd w:val="0"/>
        <w:spacing w:before="240" w:after="240" w:line="360" w:lineRule="auto"/>
        <w:ind w:left="0" w:firstLine="0"/>
        <w:contextualSpacing w:val="0"/>
        <w:rPr>
          <w:rFonts w:asciiTheme="majorHAnsi" w:hAnsiTheme="majorHAnsi" w:cstheme="majorHAnsi"/>
        </w:rPr>
      </w:pPr>
      <w:r w:rsidRPr="002102FA">
        <w:rPr>
          <w:rFonts w:asciiTheme="majorHAnsi" w:hAnsiTheme="majorHAnsi" w:cstheme="majorHAnsi"/>
        </w:rPr>
        <w:t>Foi avaliado por um organismo acreditador e considerado tecnicamente competente.</w:t>
      </w:r>
    </w:p>
    <w:p w14:paraId="0D34957E" w14:textId="77777777" w:rsidR="00974C69" w:rsidRPr="002102FA" w:rsidRDefault="00974C69" w:rsidP="008F2A8A">
      <w:pPr>
        <w:autoSpaceDE w:val="0"/>
        <w:autoSpaceDN w:val="0"/>
        <w:adjustRightInd w:val="0"/>
        <w:spacing w:before="240" w:after="240" w:line="360" w:lineRule="auto"/>
        <w:rPr>
          <w:rFonts w:asciiTheme="majorHAnsi" w:hAnsiTheme="majorHAnsi" w:cstheme="majorHAnsi"/>
        </w:rPr>
      </w:pPr>
      <w:r w:rsidRPr="002102FA">
        <w:rPr>
          <w:rFonts w:asciiTheme="majorHAnsi" w:hAnsiTheme="majorHAnsi" w:cstheme="majorHAnsi"/>
        </w:rPr>
        <w:t>Poderíamos dizer que esses requisitos se relacionam da seguinte forma:</w:t>
      </w:r>
    </w:p>
    <w:p w14:paraId="3557B188"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noProof/>
          <w:lang w:eastAsia="pt-BR"/>
        </w:rPr>
        <w:t xml:space="preserve"> </w:t>
      </w:r>
      <w:r w:rsidRPr="002102FA">
        <w:rPr>
          <w:rFonts w:asciiTheme="majorHAnsi" w:hAnsiTheme="majorHAnsi" w:cstheme="majorHAnsi"/>
          <w:noProof/>
          <w:lang w:eastAsia="pt-BR"/>
        </w:rPr>
        <w:drawing>
          <wp:inline distT="0" distB="0" distL="0" distR="0" wp14:anchorId="3A0BF3A4" wp14:editId="778EB6A9">
            <wp:extent cx="5819775" cy="27908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9775" cy="2790825"/>
                    </a:xfrm>
                    <a:prstGeom prst="rect">
                      <a:avLst/>
                    </a:prstGeom>
                  </pic:spPr>
                </pic:pic>
              </a:graphicData>
            </a:graphic>
          </wp:inline>
        </w:drawing>
      </w:r>
    </w:p>
    <w:p w14:paraId="00426F13" w14:textId="77777777" w:rsidR="00974C69" w:rsidRPr="002102FA" w:rsidRDefault="00974C69" w:rsidP="008F2A8A">
      <w:pPr>
        <w:autoSpaceDE w:val="0"/>
        <w:autoSpaceDN w:val="0"/>
        <w:adjustRightInd w:val="0"/>
        <w:spacing w:before="240" w:after="240" w:line="360" w:lineRule="auto"/>
        <w:rPr>
          <w:rFonts w:asciiTheme="majorHAnsi" w:hAnsiTheme="majorHAnsi" w:cstheme="majorHAnsi"/>
        </w:rPr>
      </w:pPr>
      <w:r w:rsidRPr="002102FA">
        <w:rPr>
          <w:rFonts w:asciiTheme="majorHAnsi" w:hAnsiTheme="majorHAnsi" w:cstheme="majorHAnsi"/>
        </w:rPr>
        <w:t xml:space="preserve">Você lembra que quando apresentamos a ISO/IEC 17025 falamos que os requisitos de gestão foram baseados na ISO 9001:2015? </w:t>
      </w:r>
    </w:p>
    <w:p w14:paraId="0FABD604"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Pois bem...</w:t>
      </w:r>
    </w:p>
    <w:p w14:paraId="4E3E0E14"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 primeira versão da ISO/IEC 17025 (de 1999 e publicada no Brasil em 2001) foi elaborada utilizando, como base, o sistema de gestão da ISO 9001:1994.</w:t>
      </w:r>
    </w:p>
    <w:p w14:paraId="3DAEE712"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Em 2000, a ISO 9001 passou por uma revisão bem significativa, o que fez com que a ISO/IEC 17025 também fosse revisada. Essa nova revisão, foi publicada em 2005 e é a revisão que foi utilizada até o final de 2017.</w:t>
      </w:r>
    </w:p>
    <w:p w14:paraId="79E3665E"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lastRenderedPageBreak/>
        <w:t>Mas você deve estar se perguntando por que a ISO/IEC 17025 não foi revisada após a revisão da ISO 9001:2008...</w:t>
      </w:r>
    </w:p>
    <w:p w14:paraId="23DB1345"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Isso não aconteceu porque as mudanças da 2008 não foram consideradas significativas o suficiente para gerar uma nova revisão. Porém, em 2015, foi publicada uma nova versão da ISO 9001 que trouxe mudanças bem significativas.</w:t>
      </w:r>
    </w:p>
    <w:p w14:paraId="267EFFEE"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Em 20 de novembro de 2017 a nova versão da ISO/IEC 17025 foi publicada pelo Comitê do ISO/CASCO. O objetivo dessa revisão foi a busca por um alinhamento com a ISO 9001:2015 e facilitar a integração do sistema de gestão dos laboratórios que possuem outras normas de gestão implantadas.</w:t>
      </w:r>
    </w:p>
    <w:p w14:paraId="56307740" w14:textId="31B43274" w:rsidR="009443B6"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Para facilitar observe na tabela abaixo as publicações da ISO 9001 que geraram uma revisão da 17025.</w:t>
      </w:r>
    </w:p>
    <w:tbl>
      <w:tblPr>
        <w:tblStyle w:val="Tabelacomgrade"/>
        <w:tblW w:w="9243" w:type="dxa"/>
        <w:tblInd w:w="108" w:type="dxa"/>
        <w:tblLook w:val="04A0" w:firstRow="1" w:lastRow="0" w:firstColumn="1" w:lastColumn="0" w:noHBand="0" w:noVBand="1"/>
      </w:tblPr>
      <w:tblGrid>
        <w:gridCol w:w="2155"/>
        <w:gridCol w:w="7088"/>
      </w:tblGrid>
      <w:tr w:rsidR="00974C69" w:rsidRPr="002102FA" w14:paraId="18AAD4E6" w14:textId="77777777" w:rsidTr="00974C69">
        <w:trPr>
          <w:trHeight w:val="505"/>
        </w:trPr>
        <w:tc>
          <w:tcPr>
            <w:tcW w:w="2155" w:type="dxa"/>
            <w:shd w:val="clear" w:color="auto" w:fill="0070C0"/>
            <w:vAlign w:val="center"/>
          </w:tcPr>
          <w:p w14:paraId="6A583D04"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b/>
                <w:color w:val="FFFFFF" w:themeColor="background1"/>
              </w:rPr>
            </w:pPr>
            <w:r w:rsidRPr="002102FA">
              <w:rPr>
                <w:rFonts w:asciiTheme="majorHAnsi" w:hAnsiTheme="majorHAnsi" w:cstheme="majorHAnsi"/>
                <w:b/>
                <w:color w:val="FFFFFF" w:themeColor="background1"/>
              </w:rPr>
              <w:t>ISO 9001</w:t>
            </w:r>
          </w:p>
        </w:tc>
        <w:tc>
          <w:tcPr>
            <w:tcW w:w="7088" w:type="dxa"/>
            <w:shd w:val="clear" w:color="auto" w:fill="0070C0"/>
            <w:vAlign w:val="center"/>
          </w:tcPr>
          <w:p w14:paraId="5629B252"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b/>
                <w:color w:val="FFFFFF" w:themeColor="background1"/>
              </w:rPr>
            </w:pPr>
            <w:r w:rsidRPr="002102FA">
              <w:rPr>
                <w:rFonts w:asciiTheme="majorHAnsi" w:hAnsiTheme="majorHAnsi" w:cstheme="majorHAnsi"/>
                <w:b/>
                <w:color w:val="FFFFFF" w:themeColor="background1"/>
              </w:rPr>
              <w:t>ISO/IEC 17025</w:t>
            </w:r>
          </w:p>
        </w:tc>
      </w:tr>
      <w:tr w:rsidR="00974C69" w:rsidRPr="002102FA" w14:paraId="09C66B91" w14:textId="77777777" w:rsidTr="00974C69">
        <w:tc>
          <w:tcPr>
            <w:tcW w:w="2155" w:type="dxa"/>
          </w:tcPr>
          <w:p w14:paraId="6CB63E9D"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rPr>
              <w:t>1994</w:t>
            </w:r>
          </w:p>
        </w:tc>
        <w:tc>
          <w:tcPr>
            <w:tcW w:w="7088" w:type="dxa"/>
          </w:tcPr>
          <w:p w14:paraId="268CFCAE"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rPr>
              <w:t>1999 (2001 no Brasil)</w:t>
            </w:r>
          </w:p>
        </w:tc>
      </w:tr>
      <w:tr w:rsidR="00974C69" w:rsidRPr="002102FA" w14:paraId="25AE5C5C" w14:textId="77777777" w:rsidTr="00974C69">
        <w:tc>
          <w:tcPr>
            <w:tcW w:w="2155" w:type="dxa"/>
          </w:tcPr>
          <w:p w14:paraId="1C1950AD"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rPr>
              <w:t>2000</w:t>
            </w:r>
          </w:p>
        </w:tc>
        <w:tc>
          <w:tcPr>
            <w:tcW w:w="7088" w:type="dxa"/>
          </w:tcPr>
          <w:p w14:paraId="1238BCC4"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rPr>
              <w:t>2005</w:t>
            </w:r>
          </w:p>
        </w:tc>
      </w:tr>
      <w:tr w:rsidR="00974C69" w:rsidRPr="002102FA" w14:paraId="17B94EB7" w14:textId="77777777" w:rsidTr="00974C69">
        <w:tc>
          <w:tcPr>
            <w:tcW w:w="2155" w:type="dxa"/>
          </w:tcPr>
          <w:p w14:paraId="2D19EEE5"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rPr>
              <w:t>2008</w:t>
            </w:r>
          </w:p>
        </w:tc>
        <w:tc>
          <w:tcPr>
            <w:tcW w:w="7088" w:type="dxa"/>
          </w:tcPr>
          <w:p w14:paraId="56EE86E1"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rPr>
              <w:t>Não houve revisão</w:t>
            </w:r>
          </w:p>
        </w:tc>
      </w:tr>
      <w:tr w:rsidR="00974C69" w:rsidRPr="002102FA" w14:paraId="77AA6272" w14:textId="77777777" w:rsidTr="00974C69">
        <w:tc>
          <w:tcPr>
            <w:tcW w:w="2155" w:type="dxa"/>
          </w:tcPr>
          <w:p w14:paraId="3B0D8850"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rPr>
              <w:t>2015</w:t>
            </w:r>
          </w:p>
        </w:tc>
        <w:tc>
          <w:tcPr>
            <w:tcW w:w="7088" w:type="dxa"/>
          </w:tcPr>
          <w:p w14:paraId="113349FE" w14:textId="77777777" w:rsidR="00974C69" w:rsidRPr="002102FA" w:rsidRDefault="00974C69" w:rsidP="008F2A8A">
            <w:pPr>
              <w:autoSpaceDE w:val="0"/>
              <w:autoSpaceDN w:val="0"/>
              <w:adjustRightInd w:val="0"/>
              <w:spacing w:before="240" w:after="240" w:line="360" w:lineRule="auto"/>
              <w:jc w:val="center"/>
              <w:rPr>
                <w:rFonts w:asciiTheme="majorHAnsi" w:hAnsiTheme="majorHAnsi" w:cstheme="majorHAnsi"/>
              </w:rPr>
            </w:pPr>
            <w:r w:rsidRPr="002102FA">
              <w:rPr>
                <w:rFonts w:asciiTheme="majorHAnsi" w:hAnsiTheme="majorHAnsi" w:cstheme="majorHAnsi"/>
              </w:rPr>
              <w:t>2017</w:t>
            </w:r>
          </w:p>
        </w:tc>
      </w:tr>
    </w:tbl>
    <w:p w14:paraId="5E8FB310"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xml:space="preserve">Se você observar com cuidado, verá que a versão 2005 foi a que ficou mais tempo vigente. Foram 12 anos servindo de referência para a implantação e operação dos laboratórios. </w:t>
      </w:r>
    </w:p>
    <w:p w14:paraId="49D54C32"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Com a publicação de uma nova versão, é normal o surgimento de dúvidas.</w:t>
      </w:r>
    </w:p>
    <w:p w14:paraId="16D8FCC6"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xml:space="preserve">Por isso, em março de 2018 a </w:t>
      </w:r>
      <w:proofErr w:type="spellStart"/>
      <w:r w:rsidRPr="002102FA">
        <w:rPr>
          <w:rFonts w:asciiTheme="majorHAnsi" w:hAnsiTheme="majorHAnsi" w:cstheme="majorHAnsi"/>
        </w:rPr>
        <w:t>Cgcre</w:t>
      </w:r>
      <w:proofErr w:type="spellEnd"/>
      <w:r w:rsidRPr="002102FA">
        <w:rPr>
          <w:rFonts w:asciiTheme="majorHAnsi" w:hAnsiTheme="majorHAnsi" w:cstheme="majorHAnsi"/>
        </w:rPr>
        <w:t xml:space="preserve"> publicou o DOQ-Cgcre-087, </w:t>
      </w:r>
      <w:proofErr w:type="spellStart"/>
      <w:r w:rsidRPr="002102FA">
        <w:rPr>
          <w:rFonts w:asciiTheme="majorHAnsi" w:hAnsiTheme="majorHAnsi" w:cstheme="majorHAnsi"/>
        </w:rPr>
        <w:t>rev</w:t>
      </w:r>
      <w:proofErr w:type="spellEnd"/>
      <w:r w:rsidRPr="002102FA">
        <w:rPr>
          <w:rFonts w:asciiTheme="majorHAnsi" w:hAnsiTheme="majorHAnsi" w:cstheme="majorHAnsi"/>
        </w:rPr>
        <w:t xml:space="preserve"> 00 (para verificar a revisão vigente, consulte o site do Inmetro) – Orientações gerais sobre os requisitos da ABNT NBR ISO/IEC 17025:2017. Um documento de caráter </w:t>
      </w:r>
      <w:proofErr w:type="gramStart"/>
      <w:r w:rsidRPr="002102FA">
        <w:rPr>
          <w:rFonts w:asciiTheme="majorHAnsi" w:hAnsiTheme="majorHAnsi" w:cstheme="majorHAnsi"/>
        </w:rPr>
        <w:t>orientativo</w:t>
      </w:r>
      <w:proofErr w:type="gramEnd"/>
      <w:r w:rsidRPr="002102FA">
        <w:rPr>
          <w:rFonts w:asciiTheme="majorHAnsi" w:hAnsiTheme="majorHAnsi" w:cstheme="majorHAnsi"/>
        </w:rPr>
        <w:t xml:space="preserve"> mas que pode auxiliar muito o laboratório no processo de transição ou de implantação da norma na versão 2017.</w:t>
      </w:r>
    </w:p>
    <w:p w14:paraId="1D65ECE8"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O documento está estruturado na forma de uma tabela, correlacionando os requisitos da versão 2005 e versão 2017 e um campo com comentários complementares, que explicam melhor o novo requisito e as diferenças da versão anterior.</w:t>
      </w:r>
    </w:p>
    <w:p w14:paraId="6A3E43DD"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lastRenderedPageBreak/>
        <w:t>Bom, agora vamos falar sobre a estrutura da ABNT NBR ISO/IEC 17025:2017.</w:t>
      </w:r>
    </w:p>
    <w:p w14:paraId="71BE6F57" w14:textId="77777777" w:rsidR="00974C69" w:rsidRPr="002102FA" w:rsidRDefault="00974C69" w:rsidP="008F2A8A">
      <w:pPr>
        <w:pStyle w:val="Ttulo1"/>
        <w:numPr>
          <w:ilvl w:val="0"/>
          <w:numId w:val="9"/>
        </w:numPr>
        <w:tabs>
          <w:tab w:val="left" w:pos="567"/>
        </w:tabs>
        <w:spacing w:before="480" w:line="360" w:lineRule="auto"/>
        <w:ind w:left="432" w:hanging="432"/>
        <w:rPr>
          <w:rFonts w:asciiTheme="majorHAnsi" w:eastAsia="Verdana" w:hAnsiTheme="majorHAnsi" w:cstheme="majorHAnsi"/>
        </w:rPr>
      </w:pPr>
      <w:bookmarkStart w:id="24" w:name="_Toc8656706"/>
      <w:bookmarkStart w:id="25" w:name="_Toc22564407"/>
      <w:r w:rsidRPr="002102FA">
        <w:rPr>
          <w:rFonts w:asciiTheme="majorHAnsi" w:hAnsiTheme="majorHAnsi" w:cstheme="majorHAnsi"/>
          <w:noProof/>
        </w:rPr>
        <w:drawing>
          <wp:anchor distT="0" distB="0" distL="114300" distR="114300" simplePos="0" relativeHeight="251688960" behindDoc="0" locked="0" layoutInCell="1" allowOverlap="1" wp14:anchorId="39027AAA" wp14:editId="2F289C9B">
            <wp:simplePos x="0" y="0"/>
            <wp:positionH relativeFrom="column">
              <wp:posOffset>1270</wp:posOffset>
            </wp:positionH>
            <wp:positionV relativeFrom="paragraph">
              <wp:posOffset>421005</wp:posOffset>
            </wp:positionV>
            <wp:extent cx="1299210" cy="1206500"/>
            <wp:effectExtent l="0" t="0" r="0" b="0"/>
            <wp:wrapSquare wrapText="bothSides"/>
            <wp:docPr id="23" name="Imagem 23" descr="https://rp2m-entib.org.br/rp2m/imagens/RP2M_17025_A01_11_AB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2m-entib.org.br/rp2m/imagens/RP2M_17025_A01_11_ABN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921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2FA">
        <w:rPr>
          <w:rFonts w:asciiTheme="majorHAnsi" w:eastAsia="Verdana" w:hAnsiTheme="majorHAnsi" w:cstheme="majorHAnsi"/>
        </w:rPr>
        <w:t>A norma e sua estrutura</w:t>
      </w:r>
      <w:bookmarkEnd w:id="24"/>
      <w:bookmarkEnd w:id="25"/>
    </w:p>
    <w:p w14:paraId="31C258B0"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p>
    <w:p w14:paraId="07D129FD"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 NBR ISO/IEC 17025 é composta por uma parte inicial e 8 Seções e 2 anexos, sendo que as seções 4, 5, 6, 7 e 8 são passíveis de serem avaliados.</w:t>
      </w:r>
    </w:p>
    <w:p w14:paraId="7E447E69" w14:textId="77777777" w:rsidR="00974C69" w:rsidRDefault="00974C69" w:rsidP="008F2A8A">
      <w:pPr>
        <w:autoSpaceDE w:val="0"/>
        <w:autoSpaceDN w:val="0"/>
        <w:adjustRightInd w:val="0"/>
        <w:spacing w:before="240" w:after="240" w:line="360" w:lineRule="auto"/>
        <w:jc w:val="both"/>
        <w:rPr>
          <w:rFonts w:asciiTheme="majorHAnsi" w:hAnsiTheme="majorHAnsi" w:cstheme="majorHAnsi"/>
        </w:rPr>
      </w:pPr>
    </w:p>
    <w:p w14:paraId="0AEA9FF4" w14:textId="77777777" w:rsidR="00C555DB" w:rsidRPr="002102FA" w:rsidRDefault="00C555DB" w:rsidP="008F2A8A">
      <w:pPr>
        <w:autoSpaceDE w:val="0"/>
        <w:autoSpaceDN w:val="0"/>
        <w:adjustRightInd w:val="0"/>
        <w:spacing w:before="240" w:after="240" w:line="360" w:lineRule="auto"/>
        <w:jc w:val="both"/>
        <w:rPr>
          <w:rFonts w:asciiTheme="majorHAnsi" w:hAnsiTheme="majorHAnsi" w:cstheme="majorHAnsi"/>
        </w:rPr>
      </w:pPr>
    </w:p>
    <w:p w14:paraId="24B2887E" w14:textId="77777777" w:rsidR="00974C69" w:rsidRPr="002102FA" w:rsidRDefault="00974C69" w:rsidP="00C555DB">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Prefácio Nacional</w:t>
      </w:r>
    </w:p>
    <w:p w14:paraId="702B1779"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Introdução</w:t>
      </w:r>
    </w:p>
    <w:p w14:paraId="403064A8"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1 - Escopo</w:t>
      </w:r>
    </w:p>
    <w:p w14:paraId="1B9269DC"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2 - Referências normativas</w:t>
      </w:r>
    </w:p>
    <w:p w14:paraId="5AF3D4D1"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3 - Termos e definições</w:t>
      </w:r>
    </w:p>
    <w:p w14:paraId="57384318"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4 - Requisitos gerais</w:t>
      </w:r>
    </w:p>
    <w:p w14:paraId="2472E283"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5 - Requisitos de estrutura</w:t>
      </w:r>
    </w:p>
    <w:p w14:paraId="6668798E"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6 - Requisitos de recurso</w:t>
      </w:r>
    </w:p>
    <w:p w14:paraId="510C1EBE"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7 - Requisitos de processo</w:t>
      </w:r>
    </w:p>
    <w:p w14:paraId="590436EA"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Requisitos de gestão</w:t>
      </w:r>
    </w:p>
    <w:p w14:paraId="11BB8B53"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Anexo A</w:t>
      </w:r>
    </w:p>
    <w:p w14:paraId="62DC9A3C" w14:textId="77777777" w:rsidR="00974C69" w:rsidRPr="002102FA" w:rsidRDefault="00974C69" w:rsidP="003473E0">
      <w:pPr>
        <w:pStyle w:val="PargrafodaLista"/>
        <w:widowControl w:val="0"/>
        <w:numPr>
          <w:ilvl w:val="0"/>
          <w:numId w:val="36"/>
        </w:numPr>
        <w:autoSpaceDE w:val="0"/>
        <w:autoSpaceDN w:val="0"/>
        <w:adjustRightInd w:val="0"/>
        <w:spacing w:before="120" w:after="120" w:line="360" w:lineRule="auto"/>
        <w:contextualSpacing w:val="0"/>
        <w:jc w:val="both"/>
        <w:rPr>
          <w:rFonts w:asciiTheme="majorHAnsi" w:hAnsiTheme="majorHAnsi" w:cstheme="majorHAnsi"/>
        </w:rPr>
      </w:pPr>
      <w:r w:rsidRPr="002102FA">
        <w:rPr>
          <w:rFonts w:asciiTheme="majorHAnsi" w:hAnsiTheme="majorHAnsi" w:cstheme="majorHAnsi"/>
        </w:rPr>
        <w:t>Anexo B</w:t>
      </w:r>
    </w:p>
    <w:p w14:paraId="1571C688" w14:textId="69005CD6" w:rsidR="006A22BD"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Vamos dar uma olhada nestas seções?</w:t>
      </w:r>
    </w:p>
    <w:p w14:paraId="6B50C20B"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26" w:name="_Toc8656707"/>
      <w:bookmarkStart w:id="27" w:name="_Toc22551780"/>
      <w:bookmarkStart w:id="28" w:name="_Toc22561905"/>
      <w:bookmarkStart w:id="29" w:name="_Toc22563445"/>
      <w:bookmarkStart w:id="30" w:name="_Toc22564408"/>
      <w:bookmarkStart w:id="31" w:name="_Toc8656718"/>
      <w:bookmarkEnd w:id="26"/>
      <w:bookmarkEnd w:id="27"/>
      <w:bookmarkEnd w:id="28"/>
      <w:bookmarkEnd w:id="29"/>
      <w:bookmarkEnd w:id="30"/>
    </w:p>
    <w:p w14:paraId="39C46C43"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32" w:name="_Toc22564409"/>
      <w:bookmarkEnd w:id="32"/>
    </w:p>
    <w:p w14:paraId="47ECDC04"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33" w:name="_Toc22564410"/>
      <w:bookmarkEnd w:id="33"/>
    </w:p>
    <w:p w14:paraId="6ADEA17E"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34" w:name="_Toc22564411"/>
      <w:bookmarkEnd w:id="34"/>
    </w:p>
    <w:p w14:paraId="121379D2"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35" w:name="_Toc22564412"/>
      <w:bookmarkEnd w:id="35"/>
    </w:p>
    <w:p w14:paraId="6114526D"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36" w:name="_Toc22564413"/>
      <w:bookmarkEnd w:id="36"/>
    </w:p>
    <w:p w14:paraId="32C83CFF"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37" w:name="_Toc22564414"/>
      <w:bookmarkEnd w:id="37"/>
    </w:p>
    <w:p w14:paraId="07081796"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38" w:name="_Toc22564415"/>
      <w:bookmarkEnd w:id="38"/>
    </w:p>
    <w:p w14:paraId="54AC3E68"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39" w:name="_Toc22564416"/>
      <w:bookmarkEnd w:id="39"/>
    </w:p>
    <w:p w14:paraId="14A21EAD"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40" w:name="_Toc22564417"/>
      <w:bookmarkEnd w:id="40"/>
    </w:p>
    <w:p w14:paraId="7C75CB9C" w14:textId="77777777" w:rsidR="00512B2D" w:rsidRPr="002102FA" w:rsidRDefault="00512B2D" w:rsidP="008F2A8A">
      <w:pPr>
        <w:pStyle w:val="PargrafodaLista"/>
        <w:keepNext/>
        <w:keepLines/>
        <w:numPr>
          <w:ilvl w:val="0"/>
          <w:numId w:val="20"/>
        </w:numPr>
        <w:tabs>
          <w:tab w:val="left" w:pos="567"/>
        </w:tabs>
        <w:spacing w:before="240" w:after="240" w:line="360" w:lineRule="auto"/>
        <w:contextualSpacing w:val="0"/>
        <w:outlineLvl w:val="0"/>
        <w:rPr>
          <w:rFonts w:asciiTheme="majorHAnsi" w:eastAsia="Verdana" w:hAnsiTheme="majorHAnsi" w:cstheme="majorHAnsi"/>
          <w:b/>
          <w:bCs/>
          <w:vanish/>
          <w:color w:val="0070C0"/>
          <w:kern w:val="36"/>
          <w:sz w:val="32"/>
          <w:szCs w:val="48"/>
          <w:lang w:eastAsia="pt-BR"/>
        </w:rPr>
      </w:pPr>
      <w:bookmarkStart w:id="41" w:name="_Toc22564418"/>
      <w:bookmarkEnd w:id="41"/>
    </w:p>
    <w:p w14:paraId="1E98F788"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bookmarkStart w:id="42" w:name="_Toc22564419"/>
      <w:bookmarkStart w:id="43" w:name="_Toc22564429"/>
      <w:bookmarkEnd w:id="42"/>
    </w:p>
    <w:p w14:paraId="1C49A6A8"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p>
    <w:p w14:paraId="07BA74EF"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p>
    <w:p w14:paraId="76928A09"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p>
    <w:p w14:paraId="4DDDB554"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p>
    <w:p w14:paraId="149B5988"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p>
    <w:p w14:paraId="236EA512"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p>
    <w:p w14:paraId="587C6377"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p>
    <w:p w14:paraId="30150505" w14:textId="77777777" w:rsidR="002102FA" w:rsidRPr="002102FA" w:rsidRDefault="002102FA" w:rsidP="008F2A8A">
      <w:pPr>
        <w:pStyle w:val="PargrafodaLista"/>
        <w:numPr>
          <w:ilvl w:val="0"/>
          <w:numId w:val="23"/>
        </w:numPr>
        <w:spacing w:before="240" w:after="240" w:line="360" w:lineRule="auto"/>
        <w:contextualSpacing w:val="0"/>
        <w:outlineLvl w:val="0"/>
        <w:rPr>
          <w:rFonts w:ascii="Calibri Light" w:eastAsia="Verdana" w:hAnsi="Calibri Light" w:cs="Times New Roman"/>
          <w:b/>
          <w:bCs/>
          <w:vanish/>
          <w:color w:val="0070C0"/>
          <w:kern w:val="36"/>
          <w:sz w:val="32"/>
          <w:szCs w:val="48"/>
          <w:lang w:eastAsia="pt-BR"/>
        </w:rPr>
      </w:pPr>
    </w:p>
    <w:p w14:paraId="6D72F8D3" w14:textId="3700ADB7" w:rsidR="00974C69" w:rsidRPr="002102FA" w:rsidRDefault="00974C69" w:rsidP="003473E0">
      <w:pPr>
        <w:pStyle w:val="Ttulo2"/>
        <w:spacing w:before="480" w:after="480" w:line="360" w:lineRule="auto"/>
        <w:rPr>
          <w:rFonts w:eastAsia="Verdana"/>
        </w:rPr>
      </w:pPr>
      <w:r w:rsidRPr="002102FA">
        <w:rPr>
          <w:rFonts w:eastAsia="Verdana"/>
        </w:rPr>
        <w:t>Prefácio Nacional</w:t>
      </w:r>
      <w:bookmarkEnd w:id="31"/>
      <w:bookmarkEnd w:id="43"/>
    </w:p>
    <w:p w14:paraId="6EC09E93"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Traz informações sobre a revisão da NBR ISO/IEC 17025 no âmbito da ABNT (Associação Brasileira de Normas Técnicas).</w:t>
      </w:r>
    </w:p>
    <w:p w14:paraId="6E906B34"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lastRenderedPageBreak/>
        <w:t>Também é nesta seção em que consta a informação de que a versão brasileira ABNT NBR ISO/IEC 17025:2017 é uma adoção idêntica em conteúdo técnico, estrutura e redação à ISO/IEC 17025:2017.</w:t>
      </w:r>
    </w:p>
    <w:p w14:paraId="356DA932"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Além disso, também é nesta seção em que consta um comentário a respeito das principais alterações em comparação com a edição anterior:</w:t>
      </w:r>
    </w:p>
    <w:p w14:paraId="4B00AE04"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a mentalidade de risco aplicada nesta edição possibilitou alguma redução em requisitos prescritivos e sua substituição por requisitos baseados em desempenho;</w:t>
      </w:r>
    </w:p>
    <w:p w14:paraId="7420BAE6"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xml:space="preserve">- </w:t>
      </w:r>
      <w:proofErr w:type="gramStart"/>
      <w:r w:rsidRPr="002102FA">
        <w:rPr>
          <w:rFonts w:asciiTheme="majorHAnsi" w:hAnsiTheme="majorHAnsi" w:cstheme="majorHAnsi"/>
        </w:rPr>
        <w:t>há</w:t>
      </w:r>
      <w:proofErr w:type="gramEnd"/>
      <w:r w:rsidRPr="002102FA">
        <w:rPr>
          <w:rFonts w:asciiTheme="majorHAnsi" w:hAnsiTheme="majorHAnsi" w:cstheme="majorHAnsi"/>
        </w:rPr>
        <w:t xml:space="preserve"> maior flexibilidade que na edição anterior nos requisitos para processos, para procedimentos, informação documentada e responsabilidades organizacionais;</w:t>
      </w:r>
    </w:p>
    <w:p w14:paraId="26AEF587"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xml:space="preserve">- </w:t>
      </w:r>
      <w:proofErr w:type="gramStart"/>
      <w:r w:rsidRPr="002102FA">
        <w:rPr>
          <w:rFonts w:asciiTheme="majorHAnsi" w:hAnsiTheme="majorHAnsi" w:cstheme="majorHAnsi"/>
        </w:rPr>
        <w:t>foi</w:t>
      </w:r>
      <w:proofErr w:type="gramEnd"/>
      <w:r w:rsidRPr="002102FA">
        <w:rPr>
          <w:rFonts w:asciiTheme="majorHAnsi" w:hAnsiTheme="majorHAnsi" w:cstheme="majorHAnsi"/>
        </w:rPr>
        <w:t xml:space="preserve"> incluída uma definição de “laboratório” (ver 3.6).”</w:t>
      </w:r>
    </w:p>
    <w:p w14:paraId="210E0C25"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Na sequência, o texto apresenta o escopo da norma em inglês.</w:t>
      </w:r>
    </w:p>
    <w:p w14:paraId="32F4A196" w14:textId="77777777" w:rsidR="00974C69" w:rsidRPr="002102FA" w:rsidRDefault="00974C69" w:rsidP="003473E0">
      <w:pPr>
        <w:pStyle w:val="Ttulo2"/>
        <w:spacing w:before="480" w:after="480" w:line="360" w:lineRule="auto"/>
        <w:rPr>
          <w:rFonts w:eastAsia="Verdana" w:cstheme="majorHAnsi"/>
        </w:rPr>
      </w:pPr>
      <w:bookmarkStart w:id="44" w:name="_Toc8656719"/>
      <w:bookmarkStart w:id="45" w:name="_Toc22564430"/>
      <w:r w:rsidRPr="002102FA">
        <w:rPr>
          <w:rFonts w:eastAsia="Verdana" w:cstheme="majorHAnsi"/>
        </w:rPr>
        <w:t>Introdução</w:t>
      </w:r>
      <w:bookmarkEnd w:id="44"/>
      <w:bookmarkEnd w:id="45"/>
    </w:p>
    <w:p w14:paraId="6DE7CF88"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xml:space="preserve">Esta seção esclarece que a norma foi desenvolvida com o objetivo de promover a confiança na operação de laboratórios. Os requisitos contidos nela permitem que os laboratórios demonstrem que operam competentemente e que são capazes de gerar resultados válidos. </w:t>
      </w:r>
    </w:p>
    <w:p w14:paraId="71117EA7"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Agora preste atenção nessa parte específica do texto de Introdução:</w:t>
      </w:r>
    </w:p>
    <w:p w14:paraId="4734BC63" w14:textId="77777777" w:rsidR="00974C69" w:rsidRPr="002102FA" w:rsidRDefault="00974C69" w:rsidP="008F2A8A">
      <w:pPr>
        <w:pStyle w:val="Pa18"/>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rPr>
        <w:t>“</w:t>
      </w:r>
      <w:r w:rsidRPr="002102FA">
        <w:rPr>
          <w:rFonts w:asciiTheme="majorHAnsi" w:hAnsiTheme="majorHAnsi" w:cstheme="majorHAnsi"/>
          <w:i/>
          <w:sz w:val="20"/>
          <w:szCs w:val="20"/>
        </w:rPr>
        <w:t>Este documento requer que o laboratório planeje e implemente ações para abordar riscos e oportu</w:t>
      </w:r>
      <w:r w:rsidRPr="002102FA">
        <w:rPr>
          <w:rFonts w:asciiTheme="majorHAnsi" w:hAnsiTheme="majorHAnsi" w:cstheme="majorHAnsi"/>
          <w:i/>
          <w:sz w:val="20"/>
          <w:szCs w:val="20"/>
        </w:rPr>
        <w:softHyphen/>
        <w:t>nidades. A abordagem de riscos e oportunidades estabelece uma base para aumentar a eficácia do sistema de gestão, alcançar resultados melhores e prevenir efeitos negativos. O laboratório é respon</w:t>
      </w:r>
      <w:r w:rsidRPr="002102FA">
        <w:rPr>
          <w:rFonts w:asciiTheme="majorHAnsi" w:hAnsiTheme="majorHAnsi" w:cstheme="majorHAnsi"/>
          <w:i/>
          <w:sz w:val="20"/>
          <w:szCs w:val="20"/>
        </w:rPr>
        <w:softHyphen/>
        <w:t>sável por decidir quais riscos e oportunidades necessitam ser abordados”.</w:t>
      </w:r>
    </w:p>
    <w:p w14:paraId="4D2BF536" w14:textId="77777777" w:rsidR="00974C69" w:rsidRPr="002102FA" w:rsidRDefault="00974C69" w:rsidP="008F2A8A">
      <w:pPr>
        <w:pStyle w:val="Pa18"/>
        <w:spacing w:before="240" w:after="240" w:line="360" w:lineRule="auto"/>
        <w:jc w:val="both"/>
        <w:rPr>
          <w:rFonts w:asciiTheme="majorHAnsi" w:hAnsiTheme="majorHAnsi" w:cstheme="majorHAnsi"/>
          <w:color w:val="000000"/>
          <w:sz w:val="20"/>
          <w:szCs w:val="20"/>
        </w:rPr>
      </w:pPr>
    </w:p>
    <w:p w14:paraId="2A6AEAE4"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 abordagem de riscos e oportunidades é talvez a maior “novidade” no texto da versão 2017 da norma e provavelmente a que mais gera dúvidas.</w:t>
      </w:r>
    </w:p>
    <w:p w14:paraId="62C1F13C"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Mas o parágrafo citado acima, traz uma informação importante que poderá ser muito útil na aplicação do requisito 8.5 (Abordagem de riscos e oportunidades):</w:t>
      </w:r>
    </w:p>
    <w:p w14:paraId="455084C8" w14:textId="77777777" w:rsidR="00974C69" w:rsidRPr="002102FA" w:rsidRDefault="00974C69" w:rsidP="008F2A8A">
      <w:pPr>
        <w:pStyle w:val="Pa18"/>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“O laboratório é respon</w:t>
      </w:r>
      <w:r w:rsidRPr="002102FA">
        <w:rPr>
          <w:rFonts w:asciiTheme="majorHAnsi" w:hAnsiTheme="majorHAnsi" w:cstheme="majorHAnsi"/>
          <w:i/>
          <w:sz w:val="20"/>
          <w:szCs w:val="20"/>
        </w:rPr>
        <w:softHyphen/>
        <w:t>sável por decidir quais riscos e oportunidades necessitam ser abordados”.</w:t>
      </w:r>
    </w:p>
    <w:p w14:paraId="3D02BB68"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Ou seja, caberá ao laboratório a decisão de quais riscos e oportunidade necessitam ser abordados e tratados.</w:t>
      </w:r>
    </w:p>
    <w:p w14:paraId="2CDC5AF3"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lastRenderedPageBreak/>
        <w:t>Ainda nessa seção, uma informação para deixar bem clara as formas verbais empregadas ao longo do texto da norma:</w:t>
      </w:r>
    </w:p>
    <w:p w14:paraId="1C99F1C6" w14:textId="77777777" w:rsidR="00974C69" w:rsidRPr="002102FA" w:rsidRDefault="00974C69" w:rsidP="003473E0">
      <w:pPr>
        <w:pStyle w:val="Default"/>
        <w:numPr>
          <w:ilvl w:val="0"/>
          <w:numId w:val="35"/>
        </w:numPr>
        <w:tabs>
          <w:tab w:val="left" w:pos="284"/>
        </w:tabs>
        <w:spacing w:before="120" w:after="120" w:line="360" w:lineRule="auto"/>
        <w:jc w:val="both"/>
        <w:rPr>
          <w:rFonts w:asciiTheme="majorHAnsi" w:hAnsiTheme="majorHAnsi" w:cstheme="majorHAnsi"/>
          <w:sz w:val="20"/>
          <w:szCs w:val="20"/>
        </w:rPr>
      </w:pPr>
      <w:r w:rsidRPr="002102FA">
        <w:rPr>
          <w:rFonts w:asciiTheme="majorHAnsi" w:hAnsiTheme="majorHAnsi" w:cstheme="majorHAnsi"/>
          <w:sz w:val="20"/>
          <w:szCs w:val="20"/>
        </w:rPr>
        <w:t xml:space="preserve">“deve” indica um requisito; </w:t>
      </w:r>
    </w:p>
    <w:p w14:paraId="58DCF612" w14:textId="77777777" w:rsidR="00974C69" w:rsidRPr="002102FA" w:rsidRDefault="00974C69" w:rsidP="003473E0">
      <w:pPr>
        <w:pStyle w:val="Default"/>
        <w:numPr>
          <w:ilvl w:val="0"/>
          <w:numId w:val="35"/>
        </w:numPr>
        <w:tabs>
          <w:tab w:val="left" w:pos="284"/>
        </w:tabs>
        <w:spacing w:before="120" w:after="120" w:line="360" w:lineRule="auto"/>
        <w:jc w:val="both"/>
        <w:rPr>
          <w:rFonts w:asciiTheme="majorHAnsi" w:hAnsiTheme="majorHAnsi" w:cstheme="majorHAnsi"/>
          <w:sz w:val="20"/>
          <w:szCs w:val="20"/>
        </w:rPr>
      </w:pPr>
      <w:r w:rsidRPr="002102FA">
        <w:rPr>
          <w:rFonts w:asciiTheme="majorHAnsi" w:hAnsiTheme="majorHAnsi" w:cstheme="majorHAnsi"/>
          <w:sz w:val="20"/>
          <w:szCs w:val="20"/>
        </w:rPr>
        <w:t xml:space="preserve">“convém” indica uma recomendação; </w:t>
      </w:r>
    </w:p>
    <w:p w14:paraId="30E64E6D" w14:textId="39CE14C7" w:rsidR="00974C69" w:rsidRPr="003473E0" w:rsidRDefault="00974C69" w:rsidP="003473E0">
      <w:pPr>
        <w:pStyle w:val="Default"/>
        <w:numPr>
          <w:ilvl w:val="0"/>
          <w:numId w:val="35"/>
        </w:numPr>
        <w:tabs>
          <w:tab w:val="left" w:pos="284"/>
        </w:tabs>
        <w:spacing w:before="120" w:after="120" w:line="360" w:lineRule="auto"/>
        <w:jc w:val="both"/>
        <w:rPr>
          <w:rFonts w:asciiTheme="majorHAnsi" w:hAnsiTheme="majorHAnsi" w:cstheme="majorHAnsi"/>
          <w:sz w:val="20"/>
          <w:szCs w:val="20"/>
        </w:rPr>
      </w:pPr>
      <w:r w:rsidRPr="002102FA">
        <w:rPr>
          <w:rFonts w:asciiTheme="majorHAnsi" w:hAnsiTheme="majorHAnsi" w:cstheme="majorHAnsi"/>
          <w:sz w:val="20"/>
          <w:szCs w:val="20"/>
        </w:rPr>
        <w:t>“pode” (</w:t>
      </w:r>
      <w:proofErr w:type="spellStart"/>
      <w:r w:rsidRPr="002102FA">
        <w:rPr>
          <w:rFonts w:asciiTheme="majorHAnsi" w:hAnsiTheme="majorHAnsi" w:cstheme="majorHAnsi"/>
          <w:sz w:val="20"/>
          <w:szCs w:val="20"/>
        </w:rPr>
        <w:t>may</w:t>
      </w:r>
      <w:proofErr w:type="spellEnd"/>
      <w:r w:rsidRPr="002102FA">
        <w:rPr>
          <w:rFonts w:asciiTheme="majorHAnsi" w:hAnsiTheme="majorHAnsi" w:cstheme="majorHAnsi"/>
          <w:sz w:val="20"/>
          <w:szCs w:val="20"/>
        </w:rPr>
        <w:t>/</w:t>
      </w:r>
      <w:proofErr w:type="spellStart"/>
      <w:r w:rsidRPr="002102FA">
        <w:rPr>
          <w:rFonts w:asciiTheme="majorHAnsi" w:hAnsiTheme="majorHAnsi" w:cstheme="majorHAnsi"/>
          <w:sz w:val="20"/>
          <w:szCs w:val="20"/>
        </w:rPr>
        <w:t>can</w:t>
      </w:r>
      <w:proofErr w:type="spellEnd"/>
      <w:r w:rsidRPr="002102FA">
        <w:rPr>
          <w:rFonts w:asciiTheme="majorHAnsi" w:hAnsiTheme="majorHAnsi" w:cstheme="majorHAnsi"/>
          <w:sz w:val="20"/>
          <w:szCs w:val="20"/>
        </w:rPr>
        <w:t xml:space="preserve">) indica uma permissão, possibilidade ou capacidade. </w:t>
      </w:r>
    </w:p>
    <w:p w14:paraId="0E5B83CB"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xml:space="preserve">Após essa sequência inicial de informações, </w:t>
      </w:r>
      <w:proofErr w:type="gramStart"/>
      <w:r w:rsidRPr="002102FA">
        <w:rPr>
          <w:rFonts w:asciiTheme="majorHAnsi" w:hAnsiTheme="majorHAnsi" w:cstheme="majorHAnsi"/>
        </w:rPr>
        <w:t>as seções da norma tem</w:t>
      </w:r>
      <w:proofErr w:type="gramEnd"/>
      <w:r w:rsidRPr="002102FA">
        <w:rPr>
          <w:rFonts w:asciiTheme="majorHAnsi" w:hAnsiTheme="majorHAnsi" w:cstheme="majorHAnsi"/>
        </w:rPr>
        <w:t xml:space="preserve"> início de fato.</w:t>
      </w:r>
    </w:p>
    <w:p w14:paraId="67DBAE34" w14:textId="77777777" w:rsidR="00974C69" w:rsidRPr="002102FA" w:rsidRDefault="00974C69" w:rsidP="003473E0">
      <w:pPr>
        <w:pStyle w:val="Ttulo2"/>
        <w:spacing w:before="480" w:after="480" w:line="360" w:lineRule="auto"/>
        <w:rPr>
          <w:rFonts w:eastAsia="Verdana" w:cstheme="majorHAnsi"/>
        </w:rPr>
      </w:pPr>
      <w:bookmarkStart w:id="46" w:name="_Toc8656720"/>
      <w:bookmarkStart w:id="47" w:name="_Toc22564431"/>
      <w:r w:rsidRPr="002102FA">
        <w:rPr>
          <w:rFonts w:eastAsia="Verdana" w:cstheme="majorHAnsi"/>
        </w:rPr>
        <w:t>Escopo</w:t>
      </w:r>
      <w:bookmarkEnd w:id="46"/>
      <w:bookmarkEnd w:id="47"/>
    </w:p>
    <w:p w14:paraId="71B6E837" w14:textId="77777777" w:rsidR="00974C69" w:rsidRPr="002102FA" w:rsidRDefault="00974C69" w:rsidP="008F2A8A">
      <w:pPr>
        <w:pStyle w:val="Pa18"/>
        <w:tabs>
          <w:tab w:val="left" w:pos="1985"/>
          <w:tab w:val="left" w:pos="2268"/>
        </w:tabs>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noProof/>
          <w:sz w:val="20"/>
          <w:szCs w:val="20"/>
          <w:lang w:eastAsia="pt-BR"/>
        </w:rPr>
        <w:drawing>
          <wp:anchor distT="0" distB="0" distL="114300" distR="114300" simplePos="0" relativeHeight="251682816" behindDoc="0" locked="0" layoutInCell="1" allowOverlap="1" wp14:anchorId="440CBFC6" wp14:editId="3825E420">
            <wp:simplePos x="0" y="0"/>
            <wp:positionH relativeFrom="margin">
              <wp:align>left</wp:align>
            </wp:positionH>
            <wp:positionV relativeFrom="paragraph">
              <wp:posOffset>6465</wp:posOffset>
            </wp:positionV>
            <wp:extent cx="1440815" cy="1226820"/>
            <wp:effectExtent l="0" t="0" r="6985"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59409" cy="1242333"/>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hAnsiTheme="majorHAnsi" w:cstheme="majorHAnsi"/>
          <w:i/>
          <w:sz w:val="20"/>
          <w:szCs w:val="20"/>
        </w:rPr>
        <w:t xml:space="preserve"> “Este documento especifica os requisitos gerais para a competência, imparcialidade e operação consis</w:t>
      </w:r>
      <w:r w:rsidRPr="002102FA">
        <w:rPr>
          <w:rFonts w:asciiTheme="majorHAnsi" w:hAnsiTheme="majorHAnsi" w:cstheme="majorHAnsi"/>
          <w:i/>
          <w:sz w:val="20"/>
          <w:szCs w:val="20"/>
        </w:rPr>
        <w:softHyphen/>
        <w:t xml:space="preserve">tente de laboratórios. </w:t>
      </w:r>
    </w:p>
    <w:p w14:paraId="10F77254" w14:textId="77777777" w:rsidR="00974C69" w:rsidRPr="002102FA" w:rsidRDefault="00974C69" w:rsidP="008F2A8A">
      <w:pPr>
        <w:pStyle w:val="Pa18"/>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Este documento é aplicável a todas as organizações que realizam atividades de laboratório, independentemente do número de pessoas. </w:t>
      </w:r>
    </w:p>
    <w:p w14:paraId="4770BD7E" w14:textId="7A615BF5" w:rsidR="00974C69" w:rsidRPr="003473E0" w:rsidRDefault="00974C69" w:rsidP="003473E0">
      <w:pPr>
        <w:pStyle w:val="Pa18"/>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Clientes do laboratório, autoridades regulamentadoras, organizações e esquemas que utilizem avaliação entre pares, organismos de acreditação e outros utilizam este documento para confirmar ou reconhecer </w:t>
      </w:r>
      <w:r w:rsidR="003473E0">
        <w:rPr>
          <w:rFonts w:asciiTheme="majorHAnsi" w:hAnsiTheme="majorHAnsi" w:cstheme="majorHAnsi"/>
          <w:i/>
          <w:sz w:val="20"/>
          <w:szCs w:val="20"/>
        </w:rPr>
        <w:t>a competência de laboratórios”.</w:t>
      </w:r>
    </w:p>
    <w:p w14:paraId="4B2260B7"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color w:val="000000"/>
          <w:sz w:val="20"/>
          <w:szCs w:val="20"/>
        </w:rPr>
      </w:pPr>
      <w:r w:rsidRPr="002102FA">
        <w:rPr>
          <w:rFonts w:asciiTheme="majorHAnsi" w:hAnsiTheme="majorHAnsi" w:cstheme="majorHAnsi"/>
          <w:color w:val="000000"/>
          <w:sz w:val="20"/>
          <w:szCs w:val="20"/>
        </w:rPr>
        <w:t xml:space="preserve">O escopo define o objetivo da norma. </w:t>
      </w:r>
    </w:p>
    <w:p w14:paraId="00E53370"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color w:val="000000"/>
          <w:sz w:val="20"/>
          <w:szCs w:val="20"/>
        </w:rPr>
      </w:pPr>
      <w:r w:rsidRPr="002102FA">
        <w:rPr>
          <w:rFonts w:asciiTheme="majorHAnsi" w:hAnsiTheme="majorHAnsi" w:cstheme="majorHAnsi"/>
          <w:color w:val="000000"/>
          <w:sz w:val="20"/>
          <w:szCs w:val="20"/>
        </w:rPr>
        <w:t>Note que já nessa definição inicial, o termo imparcialidade está presente. E esse será um termo recorrente na aplicação de boa parte dos requisitos, mesmo que ele não esteja explícito no texto.</w:t>
      </w:r>
    </w:p>
    <w:p w14:paraId="73F2F2D3" w14:textId="77777777" w:rsidR="00974C69" w:rsidRPr="002102FA" w:rsidRDefault="00974C69" w:rsidP="003473E0">
      <w:pPr>
        <w:pStyle w:val="Ttulo2"/>
        <w:spacing w:before="480" w:after="480" w:line="360" w:lineRule="auto"/>
        <w:rPr>
          <w:rFonts w:eastAsia="Verdana" w:cstheme="majorHAnsi"/>
        </w:rPr>
      </w:pPr>
      <w:bookmarkStart w:id="48" w:name="_Toc8656721"/>
      <w:bookmarkStart w:id="49" w:name="_Toc22564432"/>
      <w:r w:rsidRPr="002102FA">
        <w:rPr>
          <w:rFonts w:eastAsia="Verdana" w:cstheme="majorHAnsi"/>
          <w:noProof/>
          <w:lang w:eastAsia="pt-BR"/>
        </w:rPr>
        <w:drawing>
          <wp:anchor distT="0" distB="0" distL="114300" distR="114300" simplePos="0" relativeHeight="251684864" behindDoc="0" locked="0" layoutInCell="1" allowOverlap="1" wp14:anchorId="20AD6742" wp14:editId="375F1B54">
            <wp:simplePos x="0" y="0"/>
            <wp:positionH relativeFrom="column">
              <wp:posOffset>-1270</wp:posOffset>
            </wp:positionH>
            <wp:positionV relativeFrom="paragraph">
              <wp:posOffset>426085</wp:posOffset>
            </wp:positionV>
            <wp:extent cx="1459230" cy="1089660"/>
            <wp:effectExtent l="0" t="0" r="7620" b="0"/>
            <wp:wrapSquare wrapText="bothSides"/>
            <wp:docPr id="25" name="Imagem 25" descr="https://rp2m-entib.org.br/rp2m/imagens/RP2M_17025_A01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923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2FA">
        <w:rPr>
          <w:rFonts w:eastAsia="Verdana" w:cstheme="majorHAnsi"/>
        </w:rPr>
        <w:t>Referências Normativas</w:t>
      </w:r>
      <w:bookmarkEnd w:id="48"/>
      <w:bookmarkEnd w:id="49"/>
    </w:p>
    <w:p w14:paraId="4A5A9020"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xml:space="preserve"> Nestas referências constam documentos importantes para que se possa entender melhor essa norma.</w:t>
      </w:r>
    </w:p>
    <w:p w14:paraId="0F57EA3A"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Neste caso, os dois documentos indicados são a ABNT ISO/IEC Guia 99 (Vocabulário Internacional de Metrologia – Conceitos fundamentais e gerais e termos associados) e a NBR ISO/IEC 17000 (Avaliação da Conformidade – Vocabulário e princípios gerais).</w:t>
      </w:r>
    </w:p>
    <w:p w14:paraId="3AC17B4D"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 xml:space="preserve">O VIM é o documento que referência e oficializa os termos utilizados no universo da metrologia. A versão citada na norma é a de 1995, porém, a versão vigente é a de 2012 e você pode encontrá-la no link: </w:t>
      </w:r>
      <w:hyperlink r:id="rId42" w:history="1">
        <w:r w:rsidRPr="002102FA">
          <w:rPr>
            <w:rStyle w:val="Hyperlink"/>
            <w:rFonts w:asciiTheme="majorHAnsi" w:hAnsiTheme="majorHAnsi" w:cstheme="majorHAnsi"/>
          </w:rPr>
          <w:t>http://www.inmetro.gov.br/inovacao/publicacoes/vim_2012.pdf</w:t>
        </w:r>
      </w:hyperlink>
      <w:r w:rsidRPr="002102FA">
        <w:rPr>
          <w:rStyle w:val="Hyperlink"/>
          <w:rFonts w:asciiTheme="majorHAnsi" w:hAnsiTheme="majorHAnsi" w:cstheme="majorHAnsi"/>
        </w:rPr>
        <w:t xml:space="preserve"> </w:t>
      </w:r>
    </w:p>
    <w:p w14:paraId="464660B8" w14:textId="6CCC3163" w:rsidR="00512B2D" w:rsidRPr="003473E0" w:rsidRDefault="00974C69" w:rsidP="003473E0">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lastRenderedPageBreak/>
        <w:t>Já a ISO/IEC 17000, além de trazer o vocabulário utilizado na avaliação da conformidade, traz também princípios e informações sobre a acreditação de organismos</w:t>
      </w:r>
      <w:bookmarkStart w:id="50" w:name="_Toc8656722"/>
      <w:r w:rsidR="003473E0">
        <w:rPr>
          <w:rFonts w:asciiTheme="majorHAnsi" w:hAnsiTheme="majorHAnsi" w:cstheme="majorHAnsi"/>
        </w:rPr>
        <w:t xml:space="preserve"> de avaliação da conformidade. </w:t>
      </w:r>
    </w:p>
    <w:p w14:paraId="51080082" w14:textId="649F171B" w:rsidR="00974C69" w:rsidRPr="002102FA" w:rsidRDefault="00974C69" w:rsidP="003473E0">
      <w:pPr>
        <w:pStyle w:val="Ttulo2"/>
        <w:spacing w:before="480" w:after="480" w:line="360" w:lineRule="auto"/>
        <w:rPr>
          <w:rFonts w:cstheme="majorHAnsi"/>
        </w:rPr>
      </w:pPr>
      <w:bookmarkStart w:id="51" w:name="_Toc22564433"/>
      <w:r w:rsidRPr="002102FA">
        <w:rPr>
          <w:rFonts w:eastAsia="Verdana" w:cstheme="majorHAnsi"/>
          <w:bCs/>
        </w:rPr>
        <w:t>Termos</w:t>
      </w:r>
      <w:r w:rsidRPr="002102FA">
        <w:rPr>
          <w:rFonts w:cstheme="majorHAnsi"/>
        </w:rPr>
        <w:t xml:space="preserve"> e Definições</w:t>
      </w:r>
      <w:bookmarkEnd w:id="50"/>
      <w:bookmarkEnd w:id="51"/>
    </w:p>
    <w:p w14:paraId="3B086480" w14:textId="77777777" w:rsidR="00974C69" w:rsidRPr="002102FA" w:rsidRDefault="00974C69" w:rsidP="008F2A8A">
      <w:pPr>
        <w:tabs>
          <w:tab w:val="left" w:pos="2268"/>
        </w:tabs>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drawing>
          <wp:anchor distT="0" distB="0" distL="114300" distR="114300" simplePos="0" relativeHeight="251679744" behindDoc="0" locked="0" layoutInCell="1" allowOverlap="1" wp14:anchorId="56A842E0" wp14:editId="101A71A8">
            <wp:simplePos x="0" y="0"/>
            <wp:positionH relativeFrom="column">
              <wp:posOffset>59690</wp:posOffset>
            </wp:positionH>
            <wp:positionV relativeFrom="paragraph">
              <wp:posOffset>6985</wp:posOffset>
            </wp:positionV>
            <wp:extent cx="1394460" cy="1077595"/>
            <wp:effectExtent l="0" t="0" r="0" b="825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94460" cy="1077595"/>
                    </a:xfrm>
                    <a:prstGeom prst="rect">
                      <a:avLst/>
                    </a:prstGeom>
                  </pic:spPr>
                </pic:pic>
              </a:graphicData>
            </a:graphic>
            <wp14:sizeRelH relativeFrom="page">
              <wp14:pctWidth>0</wp14:pctWidth>
            </wp14:sizeRelH>
            <wp14:sizeRelV relativeFrom="page">
              <wp14:pctHeight>0</wp14:pctHeight>
            </wp14:sizeRelV>
          </wp:anchor>
        </w:drawing>
      </w:r>
    </w:p>
    <w:p w14:paraId="4C046435"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Nesta seção, a norma nos traz a definição de 9 termos, com base no ABNT ISO/IEC Guia 99 e da ABNT NBR ISO/IEC 17000.</w:t>
      </w:r>
    </w:p>
    <w:p w14:paraId="5F8519B2"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São eles:</w:t>
      </w:r>
    </w:p>
    <w:p w14:paraId="1037B6B5"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color w:val="E1B937"/>
          <w:sz w:val="20"/>
          <w:szCs w:val="20"/>
        </w:rPr>
      </w:pPr>
      <w:r w:rsidRPr="002102FA">
        <w:rPr>
          <w:rFonts w:asciiTheme="majorHAnsi" w:hAnsiTheme="majorHAnsi" w:cstheme="majorHAnsi"/>
          <w:b/>
          <w:bCs/>
          <w:i/>
          <w:color w:val="E1B937"/>
          <w:sz w:val="20"/>
          <w:szCs w:val="20"/>
        </w:rPr>
        <w:t xml:space="preserve">3.1 imparcialidade </w:t>
      </w:r>
    </w:p>
    <w:p w14:paraId="07630879"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presença de objetividade </w:t>
      </w:r>
    </w:p>
    <w:p w14:paraId="7D48C6B8"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1 de entrada: A objetividade implica a ausência de conflitos de interesse, ou a sua resolução, de modo a não influenciar de forma adversa as atividades subsequentes do </w:t>
      </w:r>
      <w:r w:rsidRPr="002102FA">
        <w:rPr>
          <w:rFonts w:asciiTheme="majorHAnsi" w:hAnsiTheme="majorHAnsi" w:cstheme="majorHAnsi"/>
          <w:i/>
          <w:iCs/>
          <w:sz w:val="20"/>
          <w:szCs w:val="20"/>
        </w:rPr>
        <w:t xml:space="preserve">laboratório </w:t>
      </w:r>
      <w:r w:rsidRPr="002102FA">
        <w:rPr>
          <w:rFonts w:asciiTheme="majorHAnsi" w:hAnsiTheme="majorHAnsi" w:cstheme="majorHAnsi"/>
          <w:i/>
          <w:sz w:val="20"/>
          <w:szCs w:val="20"/>
        </w:rPr>
        <w:t xml:space="preserve">(3.6). </w:t>
      </w:r>
    </w:p>
    <w:p w14:paraId="6BFC8CF5" w14:textId="77777777" w:rsidR="00974C69" w:rsidRPr="002102FA" w:rsidRDefault="00974C69" w:rsidP="008F2A8A">
      <w:pPr>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1 Também conhecido como JCGM 200.  </w:t>
      </w:r>
    </w:p>
    <w:p w14:paraId="52B8869E"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2 de entrada: Outros termos úteis para entender o elemento de imparcialidade incluem: “independência”, “ausência de conflitos de interesse”, “ausência de tendências”, “não discriminação”, “neutralidade”, “equidade”, “mente aberta”, “justiça”, “desprendimento”, “equilíbrio”. </w:t>
      </w:r>
    </w:p>
    <w:p w14:paraId="110A201E" w14:textId="698D376C" w:rsidR="004D1E72" w:rsidRPr="002102FA" w:rsidRDefault="00974C69" w:rsidP="003473E0">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[ABNT ISO/IEC 17021-1:2016, 3.2, modificada – As palavras “o organismo de certificação” foram substituídas por “o laboratório” na Nota 1 de entrada.] </w:t>
      </w:r>
    </w:p>
    <w:p w14:paraId="0CC6A4BB"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color w:val="E1B937"/>
          <w:sz w:val="20"/>
          <w:szCs w:val="20"/>
        </w:rPr>
      </w:pPr>
      <w:proofErr w:type="gramStart"/>
      <w:r w:rsidRPr="002102FA">
        <w:rPr>
          <w:rFonts w:asciiTheme="majorHAnsi" w:hAnsiTheme="majorHAnsi" w:cstheme="majorHAnsi"/>
          <w:b/>
          <w:bCs/>
          <w:i/>
          <w:color w:val="E1B937"/>
          <w:sz w:val="20"/>
          <w:szCs w:val="20"/>
        </w:rPr>
        <w:t>3.2 reclamação</w:t>
      </w:r>
      <w:proofErr w:type="gramEnd"/>
      <w:r w:rsidRPr="002102FA">
        <w:rPr>
          <w:rFonts w:asciiTheme="majorHAnsi" w:hAnsiTheme="majorHAnsi" w:cstheme="majorHAnsi"/>
          <w:b/>
          <w:bCs/>
          <w:i/>
          <w:color w:val="E1B937"/>
          <w:sz w:val="20"/>
          <w:szCs w:val="20"/>
        </w:rPr>
        <w:t xml:space="preserve"> </w:t>
      </w:r>
    </w:p>
    <w:p w14:paraId="0F1DCA2F"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expressão de insatisfação, emitida por uma pessoa ou por uma organização para um </w:t>
      </w:r>
      <w:r w:rsidRPr="002102FA">
        <w:rPr>
          <w:rFonts w:asciiTheme="majorHAnsi" w:hAnsiTheme="majorHAnsi" w:cstheme="majorHAnsi"/>
          <w:i/>
          <w:iCs/>
          <w:sz w:val="20"/>
          <w:szCs w:val="20"/>
        </w:rPr>
        <w:t xml:space="preserve">laboratório </w:t>
      </w:r>
      <w:r w:rsidRPr="002102FA">
        <w:rPr>
          <w:rFonts w:asciiTheme="majorHAnsi" w:hAnsiTheme="majorHAnsi" w:cstheme="majorHAnsi"/>
          <w:i/>
          <w:sz w:val="20"/>
          <w:szCs w:val="20"/>
        </w:rPr>
        <w:t xml:space="preserve">(3.6), relativa às atividades ou resultados deste laboratório, onde uma resposta é esperada </w:t>
      </w:r>
    </w:p>
    <w:p w14:paraId="70C5A160" w14:textId="410B4CC7" w:rsidR="00974C69" w:rsidRPr="002102FA" w:rsidRDefault="00974C69" w:rsidP="003473E0">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[ABNT NBR ISO/IEC 17000:2005, 6.5, modificada – As palavras “outra que não apelação” foram removidas, e as palavras “um organismo de avaliação da conformidade ou para um organismo de acreditação, relativa às atividades desse organismo” foram substituídas por “um laboratório, relativas às atividades ou r</w:t>
      </w:r>
      <w:r w:rsidR="003473E0">
        <w:rPr>
          <w:rFonts w:asciiTheme="majorHAnsi" w:hAnsiTheme="majorHAnsi" w:cstheme="majorHAnsi"/>
          <w:i/>
          <w:sz w:val="20"/>
          <w:szCs w:val="20"/>
        </w:rPr>
        <w:t xml:space="preserve">esultados deste laboratório”.] </w:t>
      </w:r>
    </w:p>
    <w:p w14:paraId="68CCE0D3"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color w:val="E1B937"/>
          <w:sz w:val="20"/>
          <w:szCs w:val="20"/>
        </w:rPr>
      </w:pPr>
      <w:proofErr w:type="gramStart"/>
      <w:r w:rsidRPr="002102FA">
        <w:rPr>
          <w:rFonts w:asciiTheme="majorHAnsi" w:hAnsiTheme="majorHAnsi" w:cstheme="majorHAnsi"/>
          <w:b/>
          <w:bCs/>
          <w:i/>
          <w:color w:val="E1B937"/>
          <w:sz w:val="20"/>
          <w:szCs w:val="20"/>
        </w:rPr>
        <w:t>3.3 comparação</w:t>
      </w:r>
      <w:proofErr w:type="gramEnd"/>
      <w:r w:rsidRPr="002102FA">
        <w:rPr>
          <w:rFonts w:asciiTheme="majorHAnsi" w:hAnsiTheme="majorHAnsi" w:cstheme="majorHAnsi"/>
          <w:b/>
          <w:bCs/>
          <w:i/>
          <w:color w:val="E1B937"/>
          <w:sz w:val="20"/>
          <w:szCs w:val="20"/>
        </w:rPr>
        <w:t xml:space="preserve"> interlaboratorial </w:t>
      </w:r>
    </w:p>
    <w:p w14:paraId="41CE435B"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lastRenderedPageBreak/>
        <w:t xml:space="preserve">organização, realização e avaliação de medições ou ensaios nos mesmos ou em itens similares por dois ou mais laboratórios, de acordo com as condições predeterminadas </w:t>
      </w:r>
    </w:p>
    <w:p w14:paraId="20FAC7E9"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[ABNT NBR ISO/IEC 17043:2011, 3.4] </w:t>
      </w:r>
    </w:p>
    <w:p w14:paraId="4FD404EB"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color w:val="E1B937"/>
          <w:sz w:val="20"/>
          <w:szCs w:val="20"/>
        </w:rPr>
      </w:pPr>
      <w:proofErr w:type="gramStart"/>
      <w:r w:rsidRPr="002102FA">
        <w:rPr>
          <w:rFonts w:asciiTheme="majorHAnsi" w:hAnsiTheme="majorHAnsi" w:cstheme="majorHAnsi"/>
          <w:b/>
          <w:bCs/>
          <w:i/>
          <w:color w:val="E1B937"/>
          <w:sz w:val="20"/>
          <w:szCs w:val="20"/>
        </w:rPr>
        <w:t>3.4 comparação</w:t>
      </w:r>
      <w:proofErr w:type="gramEnd"/>
      <w:r w:rsidRPr="002102FA">
        <w:rPr>
          <w:rFonts w:asciiTheme="majorHAnsi" w:hAnsiTheme="majorHAnsi" w:cstheme="majorHAnsi"/>
          <w:b/>
          <w:bCs/>
          <w:i/>
          <w:color w:val="E1B937"/>
          <w:sz w:val="20"/>
          <w:szCs w:val="20"/>
        </w:rPr>
        <w:t xml:space="preserve"> intralaboratorial </w:t>
      </w:r>
    </w:p>
    <w:p w14:paraId="4F7EEEA6"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organização, realização e avaliação de medições ou ensaios nos mesmos ou em itens similares, no mesmo </w:t>
      </w:r>
      <w:r w:rsidRPr="002102FA">
        <w:rPr>
          <w:rFonts w:asciiTheme="majorHAnsi" w:hAnsiTheme="majorHAnsi" w:cstheme="majorHAnsi"/>
          <w:i/>
          <w:iCs/>
          <w:sz w:val="20"/>
          <w:szCs w:val="20"/>
        </w:rPr>
        <w:t xml:space="preserve">laboratório </w:t>
      </w:r>
      <w:r w:rsidRPr="002102FA">
        <w:rPr>
          <w:rFonts w:asciiTheme="majorHAnsi" w:hAnsiTheme="majorHAnsi" w:cstheme="majorHAnsi"/>
          <w:i/>
          <w:sz w:val="20"/>
          <w:szCs w:val="20"/>
        </w:rPr>
        <w:t xml:space="preserve">(3.6), de acordo com as condições predeterminadas </w:t>
      </w:r>
    </w:p>
    <w:p w14:paraId="53963C6E"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color w:val="E1B937"/>
          <w:sz w:val="20"/>
          <w:szCs w:val="20"/>
        </w:rPr>
      </w:pPr>
      <w:proofErr w:type="gramStart"/>
      <w:r w:rsidRPr="002102FA">
        <w:rPr>
          <w:rFonts w:asciiTheme="majorHAnsi" w:hAnsiTheme="majorHAnsi" w:cstheme="majorHAnsi"/>
          <w:b/>
          <w:bCs/>
          <w:i/>
          <w:color w:val="E1B937"/>
          <w:sz w:val="20"/>
          <w:szCs w:val="20"/>
        </w:rPr>
        <w:t>3.5 ensaio</w:t>
      </w:r>
      <w:proofErr w:type="gramEnd"/>
      <w:r w:rsidRPr="002102FA">
        <w:rPr>
          <w:rFonts w:asciiTheme="majorHAnsi" w:hAnsiTheme="majorHAnsi" w:cstheme="majorHAnsi"/>
          <w:b/>
          <w:bCs/>
          <w:i/>
          <w:color w:val="E1B937"/>
          <w:sz w:val="20"/>
          <w:szCs w:val="20"/>
        </w:rPr>
        <w:t xml:space="preserve"> de proficiência </w:t>
      </w:r>
    </w:p>
    <w:p w14:paraId="220280FF"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avaliação do desempenho do participante contra critérios preestabelecidos por meio de </w:t>
      </w:r>
      <w:r w:rsidRPr="002102FA">
        <w:rPr>
          <w:rFonts w:asciiTheme="majorHAnsi" w:hAnsiTheme="majorHAnsi" w:cstheme="majorHAnsi"/>
          <w:i/>
          <w:iCs/>
          <w:sz w:val="20"/>
          <w:szCs w:val="20"/>
        </w:rPr>
        <w:t xml:space="preserve">comparações interlaboratoriais </w:t>
      </w:r>
      <w:r w:rsidRPr="002102FA">
        <w:rPr>
          <w:rFonts w:asciiTheme="majorHAnsi" w:hAnsiTheme="majorHAnsi" w:cstheme="majorHAnsi"/>
          <w:i/>
          <w:sz w:val="20"/>
          <w:szCs w:val="20"/>
        </w:rPr>
        <w:t xml:space="preserve">(3.3) </w:t>
      </w:r>
    </w:p>
    <w:p w14:paraId="551B7593" w14:textId="551A98EF"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[ABNT NBR ISO/IEC 17043:2011, 3.7, modificada – As notas de entrada foram excluídas.]</w:t>
      </w:r>
    </w:p>
    <w:p w14:paraId="197A786C"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color w:val="E1B937"/>
          <w:sz w:val="20"/>
          <w:szCs w:val="20"/>
        </w:rPr>
      </w:pPr>
      <w:proofErr w:type="gramStart"/>
      <w:r w:rsidRPr="002102FA">
        <w:rPr>
          <w:rFonts w:asciiTheme="majorHAnsi" w:hAnsiTheme="majorHAnsi" w:cstheme="majorHAnsi"/>
          <w:b/>
          <w:bCs/>
          <w:i/>
          <w:color w:val="E1B937"/>
          <w:sz w:val="20"/>
          <w:szCs w:val="20"/>
        </w:rPr>
        <w:t>3.6 laboratório</w:t>
      </w:r>
      <w:proofErr w:type="gramEnd"/>
      <w:r w:rsidRPr="002102FA">
        <w:rPr>
          <w:rFonts w:asciiTheme="majorHAnsi" w:hAnsiTheme="majorHAnsi" w:cstheme="majorHAnsi"/>
          <w:b/>
          <w:bCs/>
          <w:i/>
          <w:color w:val="E1B937"/>
          <w:sz w:val="20"/>
          <w:szCs w:val="20"/>
        </w:rPr>
        <w:t xml:space="preserve"> </w:t>
      </w:r>
    </w:p>
    <w:p w14:paraId="351FE531"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organização que realiza uma ou mais das seguintes atividades: </w:t>
      </w:r>
    </w:p>
    <w:p w14:paraId="23A852D5" w14:textId="77777777" w:rsidR="00974C69" w:rsidRPr="002102FA" w:rsidRDefault="00974C69" w:rsidP="003473E0">
      <w:pPr>
        <w:numPr>
          <w:ilvl w:val="0"/>
          <w:numId w:val="16"/>
        </w:numPr>
        <w:autoSpaceDE w:val="0"/>
        <w:autoSpaceDN w:val="0"/>
        <w:adjustRightInd w:val="0"/>
        <w:spacing w:before="120" w:after="12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ensaio </w:t>
      </w:r>
    </w:p>
    <w:p w14:paraId="0B7E7A8B" w14:textId="77777777" w:rsidR="00974C69" w:rsidRPr="002102FA" w:rsidRDefault="00974C69" w:rsidP="003473E0">
      <w:pPr>
        <w:numPr>
          <w:ilvl w:val="0"/>
          <w:numId w:val="16"/>
        </w:numPr>
        <w:autoSpaceDE w:val="0"/>
        <w:autoSpaceDN w:val="0"/>
        <w:adjustRightInd w:val="0"/>
        <w:spacing w:before="120" w:after="12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calibração </w:t>
      </w:r>
    </w:p>
    <w:p w14:paraId="0E2FCCB7" w14:textId="77777777" w:rsidR="00974C69" w:rsidRPr="002102FA" w:rsidRDefault="00974C69" w:rsidP="003473E0">
      <w:pPr>
        <w:numPr>
          <w:ilvl w:val="0"/>
          <w:numId w:val="16"/>
        </w:numPr>
        <w:autoSpaceDE w:val="0"/>
        <w:autoSpaceDN w:val="0"/>
        <w:adjustRightInd w:val="0"/>
        <w:spacing w:before="120" w:after="12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amostragem, associada com ensaio ou calibração subsequente </w:t>
      </w:r>
    </w:p>
    <w:p w14:paraId="0C6B4FBC"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1 de entrada: No contexto deste documento, a expressão “atividades de laboratório” refere-se às três atividades acima mencionadas. </w:t>
      </w:r>
    </w:p>
    <w:p w14:paraId="0BDE9194"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p>
    <w:p w14:paraId="748389AB"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Como você pode observar, laboratório é uma organização que realiza uma, duas ou as três atividades citadas nesta definição.</w:t>
      </w:r>
    </w:p>
    <w:p w14:paraId="75455A15"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Mas talvez o ponto mais importante desta definição esteja na Nota 1 de entrada: todas as vezes que você encontrar a expressão “atividade de laboratório”, o contexto do requisito se refere às três atividades citadas na definição.</w:t>
      </w:r>
    </w:p>
    <w:p w14:paraId="009DC64D"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i/>
          <w:sz w:val="20"/>
          <w:szCs w:val="20"/>
        </w:rPr>
      </w:pPr>
      <w:r w:rsidRPr="002102FA">
        <w:rPr>
          <w:rFonts w:asciiTheme="majorHAnsi" w:hAnsiTheme="majorHAnsi" w:cstheme="majorHAnsi"/>
        </w:rPr>
        <w:t>Isso é importante porque alguns requisitos são aplicáveis para “o laboratório” enquanto outros requisitos são para as “atividades de laboratório”.</w:t>
      </w:r>
    </w:p>
    <w:p w14:paraId="3FCD3663" w14:textId="77777777" w:rsidR="00974C69" w:rsidRPr="003473E0" w:rsidRDefault="00974C69" w:rsidP="008F2A8A">
      <w:pPr>
        <w:autoSpaceDE w:val="0"/>
        <w:autoSpaceDN w:val="0"/>
        <w:adjustRightInd w:val="0"/>
        <w:spacing w:before="240" w:after="240" w:line="360" w:lineRule="auto"/>
        <w:ind w:left="1701"/>
        <w:jc w:val="both"/>
        <w:rPr>
          <w:rFonts w:asciiTheme="majorHAnsi" w:hAnsiTheme="majorHAnsi" w:cstheme="majorHAnsi"/>
          <w:i/>
          <w:color w:val="E1B937"/>
          <w:sz w:val="20"/>
          <w:szCs w:val="20"/>
        </w:rPr>
      </w:pPr>
      <w:proofErr w:type="gramStart"/>
      <w:r w:rsidRPr="003473E0">
        <w:rPr>
          <w:rFonts w:asciiTheme="majorHAnsi" w:hAnsiTheme="majorHAnsi" w:cstheme="majorHAnsi"/>
          <w:b/>
          <w:bCs/>
          <w:i/>
          <w:color w:val="E1B937"/>
          <w:sz w:val="20"/>
          <w:szCs w:val="20"/>
        </w:rPr>
        <w:t>3.7 regra</w:t>
      </w:r>
      <w:proofErr w:type="gramEnd"/>
      <w:r w:rsidRPr="003473E0">
        <w:rPr>
          <w:rFonts w:asciiTheme="majorHAnsi" w:hAnsiTheme="majorHAnsi" w:cstheme="majorHAnsi"/>
          <w:b/>
          <w:bCs/>
          <w:i/>
          <w:color w:val="E1B937"/>
          <w:sz w:val="20"/>
          <w:szCs w:val="20"/>
        </w:rPr>
        <w:t xml:space="preserve"> de decisão </w:t>
      </w:r>
    </w:p>
    <w:p w14:paraId="74F500AA" w14:textId="77777777" w:rsidR="00974C69" w:rsidRPr="002102FA" w:rsidRDefault="00974C69" w:rsidP="008F2A8A">
      <w:pPr>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regra que descreve como a incerteza de medição é considerada ao declarar a conformidade com um requisito especificado.</w:t>
      </w:r>
    </w:p>
    <w:p w14:paraId="762776A9" w14:textId="77777777" w:rsidR="00974C69" w:rsidRPr="003473E0" w:rsidRDefault="00974C69" w:rsidP="008F2A8A">
      <w:pPr>
        <w:autoSpaceDE w:val="0"/>
        <w:autoSpaceDN w:val="0"/>
        <w:adjustRightInd w:val="0"/>
        <w:spacing w:before="240" w:after="240" w:line="360" w:lineRule="auto"/>
        <w:ind w:left="1701"/>
        <w:jc w:val="both"/>
        <w:rPr>
          <w:rFonts w:asciiTheme="majorHAnsi" w:hAnsiTheme="majorHAnsi" w:cstheme="majorHAnsi"/>
          <w:i/>
          <w:color w:val="E1B937"/>
          <w:sz w:val="20"/>
          <w:szCs w:val="20"/>
        </w:rPr>
      </w:pPr>
      <w:proofErr w:type="gramStart"/>
      <w:r w:rsidRPr="003473E0">
        <w:rPr>
          <w:rFonts w:asciiTheme="majorHAnsi" w:hAnsiTheme="majorHAnsi" w:cstheme="majorHAnsi"/>
          <w:b/>
          <w:bCs/>
          <w:i/>
          <w:color w:val="E1B937"/>
          <w:sz w:val="20"/>
          <w:szCs w:val="20"/>
        </w:rPr>
        <w:lastRenderedPageBreak/>
        <w:t>3.8 verificação</w:t>
      </w:r>
      <w:proofErr w:type="gramEnd"/>
      <w:r w:rsidRPr="003473E0">
        <w:rPr>
          <w:rFonts w:asciiTheme="majorHAnsi" w:hAnsiTheme="majorHAnsi" w:cstheme="majorHAnsi"/>
          <w:b/>
          <w:bCs/>
          <w:i/>
          <w:color w:val="E1B937"/>
          <w:sz w:val="20"/>
          <w:szCs w:val="20"/>
        </w:rPr>
        <w:t xml:space="preserve"> </w:t>
      </w:r>
    </w:p>
    <w:p w14:paraId="630029CD"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fornecimento de evidência objetiva de que um dado item atende a requisitos especificados </w:t>
      </w:r>
    </w:p>
    <w:p w14:paraId="185099C8"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EXEMPLO 1 Confirmação de que um dado material de referência, como declarado, é homogêneo para o valor e para o procedimento de medição em questão, até uma porção do material sob medição, com massa de 10 mg. </w:t>
      </w:r>
    </w:p>
    <w:p w14:paraId="67284E3E"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EXEMPLO 2 Confirmação de que as propriedades relativas ao desempenho ou aos requisitos legais são satisfeitas para um sistema de medição. </w:t>
      </w:r>
    </w:p>
    <w:p w14:paraId="104E9065"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EXEMPLO 3 Confirmação de que uma incerteza-alvo pode ser obtida. </w:t>
      </w:r>
    </w:p>
    <w:p w14:paraId="31062D70"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1 de entrada: Quando aplicável, recomenda-se que a incerteza de medição seja levada em consideração. </w:t>
      </w:r>
    </w:p>
    <w:p w14:paraId="5509E4BF"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2 de entrada: O item pode ser, por exemplo, um processo, um procedimento de medição, um material, um composto ou um sistema de medição. </w:t>
      </w:r>
    </w:p>
    <w:p w14:paraId="77996307"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3 de entrada: Os requisitos especificados podem ser, por exemplo, as especificações de um fabricante. </w:t>
      </w:r>
    </w:p>
    <w:p w14:paraId="5278F61C"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4 de entrada: Em metrologia legal, a verificação, conforme definida no VIML, e geralmente na avaliação da conformidade, compreende o exame e a marcação e/ou a emissão de um certificado de verificação para um sistema de medição. </w:t>
      </w:r>
    </w:p>
    <w:p w14:paraId="05865FAD"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5 de entrada: Não convém que a verificação seja confundida com calibração. Nem toda verificação é uma </w:t>
      </w:r>
      <w:r w:rsidRPr="002102FA">
        <w:rPr>
          <w:rFonts w:asciiTheme="majorHAnsi" w:hAnsiTheme="majorHAnsi" w:cstheme="majorHAnsi"/>
          <w:i/>
          <w:iCs/>
          <w:sz w:val="20"/>
          <w:szCs w:val="20"/>
        </w:rPr>
        <w:t xml:space="preserve">validação </w:t>
      </w:r>
      <w:r w:rsidRPr="002102FA">
        <w:rPr>
          <w:rFonts w:asciiTheme="majorHAnsi" w:hAnsiTheme="majorHAnsi" w:cstheme="majorHAnsi"/>
          <w:i/>
          <w:sz w:val="20"/>
          <w:szCs w:val="20"/>
        </w:rPr>
        <w:t xml:space="preserve">(3.9). </w:t>
      </w:r>
    </w:p>
    <w:p w14:paraId="0F11189D"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Nota 6 de entrada: Em química, a verificação da identidade de uma entidade, ou de uma atividade, necessita de uma descrição da estrutura ou das propriedades daquela </w:t>
      </w:r>
      <w:proofErr w:type="spellStart"/>
      <w:r w:rsidRPr="002102FA">
        <w:rPr>
          <w:rFonts w:asciiTheme="majorHAnsi" w:hAnsiTheme="majorHAnsi" w:cstheme="majorHAnsi"/>
          <w:i/>
          <w:sz w:val="20"/>
          <w:szCs w:val="20"/>
        </w:rPr>
        <w:t>entid</w:t>
      </w:r>
      <w:proofErr w:type="spellEnd"/>
      <w:r w:rsidRPr="002102FA">
        <w:rPr>
          <w:rFonts w:asciiTheme="majorHAnsi" w:hAnsiTheme="majorHAnsi" w:cstheme="majorHAnsi"/>
          <w:i/>
          <w:sz w:val="20"/>
          <w:szCs w:val="20"/>
        </w:rPr>
        <w:t xml:space="preserve"> ade ou atividade. </w:t>
      </w:r>
    </w:p>
    <w:p w14:paraId="1DE9EB52"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[ABNT ISO/IEC Guia 99:2014, 2.44] </w:t>
      </w:r>
    </w:p>
    <w:p w14:paraId="31F569AE" w14:textId="77777777" w:rsidR="00974C69" w:rsidRPr="002102FA" w:rsidRDefault="00974C69" w:rsidP="008F2A8A">
      <w:pPr>
        <w:pStyle w:val="Textodecomentrio"/>
        <w:spacing w:before="240" w:after="240" w:line="360" w:lineRule="auto"/>
        <w:rPr>
          <w:rFonts w:asciiTheme="majorHAnsi" w:hAnsiTheme="majorHAnsi" w:cstheme="majorHAnsi"/>
        </w:rPr>
      </w:pPr>
    </w:p>
    <w:p w14:paraId="2EE3F73A"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Uma nova definição e que causa uma certa dúvida:</w:t>
      </w:r>
    </w:p>
    <w:p w14:paraId="7A903CB1"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Afinal, o que é a regra de decisão?</w:t>
      </w:r>
    </w:p>
    <w:p w14:paraId="0A753D3A"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Vamos supor um ensaio de um item, cuja especificação para declaração de conformidade é uma faixa de 50 a 60 U.M.I. (unidade de medida imaginária).</w:t>
      </w:r>
    </w:p>
    <w:p w14:paraId="4EBA9557"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Após a realização do ensaio, o laboratório declarou o resultado como CONFORME.</w:t>
      </w:r>
    </w:p>
    <w:p w14:paraId="66FFF814"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lastRenderedPageBreak/>
        <w:t>Ou seja, o resultado encontrado ficou na faixa de 50 a 60 U.M.I. Mas esse resultado considerou a incerteza de medição ou somente o valor absoluto do resultado?</w:t>
      </w:r>
    </w:p>
    <w:p w14:paraId="04DD106E"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 regra de decisão responde para o cliente essa pergunta.</w:t>
      </w:r>
    </w:p>
    <w:p w14:paraId="2FCBF46C"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i/>
          <w:sz w:val="20"/>
          <w:szCs w:val="20"/>
        </w:rPr>
      </w:pPr>
      <w:r w:rsidRPr="002102FA">
        <w:rPr>
          <w:rFonts w:asciiTheme="majorHAnsi" w:hAnsiTheme="majorHAnsi" w:cstheme="majorHAnsi"/>
        </w:rPr>
        <w:t>Então a regra de decisão pode ser considerar ou não a incerteza de medição ao declarar uma conformidade.</w:t>
      </w:r>
    </w:p>
    <w:p w14:paraId="6AB6FDE2" w14:textId="69940EDC"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proofErr w:type="gramStart"/>
      <w:r w:rsidRPr="003473E0">
        <w:rPr>
          <w:rFonts w:asciiTheme="majorHAnsi" w:hAnsiTheme="majorHAnsi" w:cstheme="majorHAnsi"/>
          <w:b/>
          <w:bCs/>
          <w:i/>
          <w:color w:val="E1B937"/>
          <w:sz w:val="20"/>
          <w:szCs w:val="20"/>
        </w:rPr>
        <w:t>3.9 validação</w:t>
      </w:r>
      <w:proofErr w:type="gramEnd"/>
      <w:r w:rsidRPr="003473E0">
        <w:rPr>
          <w:rFonts w:asciiTheme="majorHAnsi" w:hAnsiTheme="majorHAnsi" w:cstheme="majorHAnsi"/>
          <w:b/>
          <w:bCs/>
          <w:i/>
          <w:color w:val="E1B937"/>
          <w:sz w:val="20"/>
          <w:szCs w:val="20"/>
        </w:rPr>
        <w:t xml:space="preserve"> </w:t>
      </w:r>
    </w:p>
    <w:p w14:paraId="0936AAFC"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iCs/>
          <w:sz w:val="20"/>
          <w:szCs w:val="20"/>
        </w:rPr>
        <w:t xml:space="preserve">verificação </w:t>
      </w:r>
      <w:r w:rsidRPr="002102FA">
        <w:rPr>
          <w:rFonts w:asciiTheme="majorHAnsi" w:hAnsiTheme="majorHAnsi" w:cstheme="majorHAnsi"/>
          <w:i/>
          <w:sz w:val="20"/>
          <w:szCs w:val="20"/>
        </w:rPr>
        <w:t xml:space="preserve">(3.8) na qual os requisitos especificados são adequados para um uso pretendido </w:t>
      </w:r>
    </w:p>
    <w:p w14:paraId="114A3DE5" w14:textId="77777777" w:rsidR="00974C69" w:rsidRPr="002102FA" w:rsidRDefault="00974C69" w:rsidP="008F2A8A">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EXEMPLO Um procedimento de medição, habitualmente utilizado para a medição da concentração mássica de nitrogênio em água, pode também ser validado para a medição da concentração mássica de nitrogênio no soro humano. </w:t>
      </w:r>
    </w:p>
    <w:p w14:paraId="7D74F594" w14:textId="3B0903BF" w:rsidR="00974C69" w:rsidRPr="003473E0" w:rsidRDefault="00974C69" w:rsidP="003473E0">
      <w:pPr>
        <w:autoSpaceDE w:val="0"/>
        <w:autoSpaceDN w:val="0"/>
        <w:adjustRightInd w:val="0"/>
        <w:spacing w:before="240" w:after="240" w:line="360" w:lineRule="auto"/>
        <w:ind w:left="1701"/>
        <w:jc w:val="both"/>
        <w:rPr>
          <w:rFonts w:asciiTheme="majorHAnsi" w:hAnsiTheme="majorHAnsi" w:cstheme="majorHAnsi"/>
          <w:i/>
          <w:sz w:val="20"/>
          <w:szCs w:val="20"/>
        </w:rPr>
      </w:pPr>
      <w:r w:rsidRPr="002102FA">
        <w:rPr>
          <w:rFonts w:asciiTheme="majorHAnsi" w:hAnsiTheme="majorHAnsi" w:cstheme="majorHAnsi"/>
          <w:i/>
          <w:sz w:val="20"/>
          <w:szCs w:val="20"/>
        </w:rPr>
        <w:t xml:space="preserve">[ABNT ISO/IEC Guia 99:2014, 2.45] </w:t>
      </w:r>
    </w:p>
    <w:p w14:paraId="0AFE247B" w14:textId="77777777" w:rsidR="00974C69" w:rsidRPr="002102FA" w:rsidRDefault="00974C69" w:rsidP="003473E0">
      <w:pPr>
        <w:pStyle w:val="Ttulo2"/>
        <w:spacing w:before="480" w:after="480" w:line="360" w:lineRule="auto"/>
        <w:ind w:left="578" w:hanging="578"/>
        <w:rPr>
          <w:rFonts w:eastAsia="Verdana" w:cstheme="majorHAnsi"/>
          <w:bCs/>
        </w:rPr>
      </w:pPr>
      <w:bookmarkStart w:id="52" w:name="_Toc8656723"/>
      <w:bookmarkStart w:id="53" w:name="_Toc22564434"/>
      <w:r w:rsidRPr="002102FA">
        <w:rPr>
          <w:rFonts w:eastAsia="Verdana" w:cstheme="majorHAnsi"/>
          <w:bCs/>
          <w:noProof/>
          <w:lang w:eastAsia="pt-BR"/>
        </w:rPr>
        <w:drawing>
          <wp:anchor distT="0" distB="0" distL="114300" distR="114300" simplePos="0" relativeHeight="251680768" behindDoc="0" locked="0" layoutInCell="1" allowOverlap="1" wp14:anchorId="6186EB2F" wp14:editId="0FF949E9">
            <wp:simplePos x="0" y="0"/>
            <wp:positionH relativeFrom="margin">
              <wp:posOffset>-1270</wp:posOffset>
            </wp:positionH>
            <wp:positionV relativeFrom="paragraph">
              <wp:posOffset>426085</wp:posOffset>
            </wp:positionV>
            <wp:extent cx="1463040" cy="1163320"/>
            <wp:effectExtent l="0" t="0" r="381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63040" cy="1163320"/>
                    </a:xfrm>
                    <a:prstGeom prst="rect">
                      <a:avLst/>
                    </a:prstGeom>
                  </pic:spPr>
                </pic:pic>
              </a:graphicData>
            </a:graphic>
            <wp14:sizeRelH relativeFrom="page">
              <wp14:pctWidth>0</wp14:pctWidth>
            </wp14:sizeRelH>
            <wp14:sizeRelV relativeFrom="page">
              <wp14:pctHeight>0</wp14:pctHeight>
            </wp14:sizeRelV>
          </wp:anchor>
        </w:drawing>
      </w:r>
      <w:r w:rsidRPr="002102FA">
        <w:rPr>
          <w:rFonts w:eastAsia="Verdana" w:cstheme="majorHAnsi"/>
          <w:bCs/>
        </w:rPr>
        <w:t>Requisitos gerais</w:t>
      </w:r>
      <w:bookmarkEnd w:id="52"/>
      <w:bookmarkEnd w:id="53"/>
    </w:p>
    <w:p w14:paraId="2E157E18" w14:textId="77777777" w:rsidR="004D1E72" w:rsidRPr="002102FA" w:rsidRDefault="004D1E72" w:rsidP="008F2A8A">
      <w:pPr>
        <w:spacing w:before="240" w:after="240" w:line="360" w:lineRule="auto"/>
        <w:rPr>
          <w:rFonts w:asciiTheme="majorHAnsi" w:hAnsiTheme="majorHAnsi" w:cstheme="majorHAnsi"/>
        </w:rPr>
      </w:pPr>
    </w:p>
    <w:p w14:paraId="52CA43F2"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A seção 04 especifica os requisitos gerais para a aplicação da norma e contém dois sub-requisitos:</w:t>
      </w:r>
    </w:p>
    <w:p w14:paraId="349D7CC5"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i/>
        </w:rPr>
      </w:pPr>
      <w:r w:rsidRPr="002102FA" w:rsidDel="00BD1BF1">
        <w:rPr>
          <w:rFonts w:asciiTheme="majorHAnsi" w:hAnsiTheme="majorHAnsi" w:cstheme="majorHAnsi"/>
          <w:b/>
        </w:rPr>
        <w:t xml:space="preserve"> </w:t>
      </w:r>
      <w:r w:rsidRPr="002102FA">
        <w:rPr>
          <w:rFonts w:asciiTheme="majorHAnsi" w:hAnsiTheme="majorHAnsi" w:cstheme="majorHAnsi"/>
        </w:rPr>
        <w:t>(</w:t>
      </w:r>
      <w:r w:rsidRPr="002102FA">
        <w:rPr>
          <w:rFonts w:asciiTheme="majorHAnsi" w:hAnsiTheme="majorHAnsi" w:cstheme="majorHAnsi"/>
          <w:b/>
          <w:i/>
        </w:rPr>
        <w:t>Obs.:</w:t>
      </w:r>
      <w:r w:rsidRPr="002102FA">
        <w:rPr>
          <w:rFonts w:asciiTheme="majorHAnsi" w:hAnsiTheme="majorHAnsi" w:cstheme="majorHAnsi"/>
          <w:i/>
        </w:rPr>
        <w:t xml:space="preserve"> A numeração abaixo está de acordo com os tópicos da norma.)</w:t>
      </w:r>
    </w:p>
    <w:p w14:paraId="18C873F3"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4.1 Imparcialidade</w:t>
      </w:r>
    </w:p>
    <w:p w14:paraId="086FD112" w14:textId="2DB4AE70" w:rsidR="00974C69" w:rsidRPr="003473E0"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4.2 Confidencialidade</w:t>
      </w:r>
    </w:p>
    <w:p w14:paraId="44B44BBF" w14:textId="77777777" w:rsidR="00974C69" w:rsidRPr="002102FA" w:rsidRDefault="00974C69" w:rsidP="003473E0">
      <w:pPr>
        <w:pStyle w:val="Ttulo2"/>
        <w:spacing w:before="480" w:after="480" w:line="360" w:lineRule="auto"/>
        <w:ind w:left="578" w:hanging="578"/>
        <w:rPr>
          <w:rFonts w:eastAsia="Verdana" w:cstheme="majorHAnsi"/>
          <w:bCs/>
        </w:rPr>
      </w:pPr>
      <w:bookmarkStart w:id="54" w:name="_Toc8656724"/>
      <w:bookmarkStart w:id="55" w:name="_Toc22564435"/>
      <w:r w:rsidRPr="002102FA">
        <w:rPr>
          <w:rFonts w:eastAsia="Verdana" w:cstheme="majorHAnsi"/>
          <w:bCs/>
        </w:rPr>
        <w:t>Requisitos de Estrutura</w:t>
      </w:r>
      <w:bookmarkEnd w:id="54"/>
      <w:bookmarkEnd w:id="55"/>
    </w:p>
    <w:p w14:paraId="53CABEAB" w14:textId="77777777" w:rsidR="00974C69" w:rsidRPr="002102FA" w:rsidRDefault="00974C69" w:rsidP="008F2A8A">
      <w:pPr>
        <w:tabs>
          <w:tab w:val="left" w:pos="2268"/>
        </w:tabs>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drawing>
          <wp:anchor distT="0" distB="0" distL="114300" distR="114300" simplePos="0" relativeHeight="251681792" behindDoc="0" locked="0" layoutInCell="1" allowOverlap="1" wp14:anchorId="69952F55" wp14:editId="1B45B8DB">
            <wp:simplePos x="0" y="0"/>
            <wp:positionH relativeFrom="margin">
              <wp:posOffset>128270</wp:posOffset>
            </wp:positionH>
            <wp:positionV relativeFrom="paragraph">
              <wp:posOffset>30480</wp:posOffset>
            </wp:positionV>
            <wp:extent cx="1297940" cy="1021080"/>
            <wp:effectExtent l="0" t="0" r="0" b="762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97940" cy="1021080"/>
                    </a:xfrm>
                    <a:prstGeom prst="rect">
                      <a:avLst/>
                    </a:prstGeom>
                  </pic:spPr>
                </pic:pic>
              </a:graphicData>
            </a:graphic>
            <wp14:sizeRelH relativeFrom="page">
              <wp14:pctWidth>0</wp14:pctWidth>
            </wp14:sizeRelH>
            <wp14:sizeRelV relativeFrom="page">
              <wp14:pctHeight>0</wp14:pctHeight>
            </wp14:sizeRelV>
          </wp:anchor>
        </w:drawing>
      </w:r>
      <w:r w:rsidRPr="002102FA">
        <w:rPr>
          <w:rFonts w:asciiTheme="majorHAnsi" w:hAnsiTheme="majorHAnsi" w:cstheme="majorHAnsi"/>
        </w:rPr>
        <w:t>A seção 05 especifica os requisitos para estruturação do laboratório como organização legal. Não possui sub-requisitos.</w:t>
      </w:r>
    </w:p>
    <w:p w14:paraId="6AEF9702"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p>
    <w:p w14:paraId="0481162D" w14:textId="77777777" w:rsidR="00974C69" w:rsidRPr="002102FA" w:rsidRDefault="00974C69" w:rsidP="003473E0">
      <w:pPr>
        <w:pStyle w:val="Ttulo2"/>
        <w:spacing w:before="480" w:after="480" w:line="360" w:lineRule="auto"/>
        <w:ind w:left="578" w:hanging="578"/>
        <w:rPr>
          <w:rFonts w:eastAsia="Verdana" w:cstheme="majorHAnsi"/>
          <w:bCs/>
        </w:rPr>
      </w:pPr>
      <w:bookmarkStart w:id="56" w:name="_Toc8656725"/>
      <w:bookmarkStart w:id="57" w:name="_Toc22564436"/>
      <w:r w:rsidRPr="002102FA">
        <w:rPr>
          <w:rFonts w:eastAsia="Verdana" w:cstheme="majorHAnsi"/>
          <w:bCs/>
        </w:rPr>
        <w:lastRenderedPageBreak/>
        <w:t>Requisitos de Recursos</w:t>
      </w:r>
      <w:bookmarkEnd w:id="56"/>
      <w:bookmarkEnd w:id="57"/>
    </w:p>
    <w:p w14:paraId="673C65EE"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drawing>
          <wp:anchor distT="0" distB="0" distL="114300" distR="114300" simplePos="0" relativeHeight="251685888" behindDoc="0" locked="0" layoutInCell="1" allowOverlap="1" wp14:anchorId="5CD16F64" wp14:editId="69AB3441">
            <wp:simplePos x="0" y="0"/>
            <wp:positionH relativeFrom="column">
              <wp:posOffset>143510</wp:posOffset>
            </wp:positionH>
            <wp:positionV relativeFrom="paragraph">
              <wp:posOffset>28575</wp:posOffset>
            </wp:positionV>
            <wp:extent cx="1386840" cy="1035050"/>
            <wp:effectExtent l="0" t="0" r="3810" b="0"/>
            <wp:wrapSquare wrapText="bothSides"/>
            <wp:docPr id="26" name="Imagem 26"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684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2FA">
        <w:rPr>
          <w:rFonts w:asciiTheme="majorHAnsi" w:hAnsiTheme="majorHAnsi" w:cstheme="majorHAnsi"/>
        </w:rPr>
        <w:t xml:space="preserve"> A seção 06 especifica os requisitos de recursos necessários para a realização das atividades de laboratório.</w:t>
      </w:r>
    </w:p>
    <w:p w14:paraId="131F5466"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w:t>
      </w:r>
      <w:r w:rsidRPr="002102FA">
        <w:rPr>
          <w:rFonts w:asciiTheme="majorHAnsi" w:hAnsiTheme="majorHAnsi" w:cstheme="majorHAnsi"/>
          <w:b/>
          <w:i/>
        </w:rPr>
        <w:t>Obs.:</w:t>
      </w:r>
      <w:r w:rsidRPr="002102FA">
        <w:rPr>
          <w:rFonts w:asciiTheme="majorHAnsi" w:hAnsiTheme="majorHAnsi" w:cstheme="majorHAnsi"/>
          <w:i/>
        </w:rPr>
        <w:t xml:space="preserve"> A numeração abaixo está de acordo com os tópicos da norma.)</w:t>
      </w:r>
    </w:p>
    <w:p w14:paraId="33F586FA"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6.1 Generalidades</w:t>
      </w:r>
    </w:p>
    <w:p w14:paraId="6D47E7F4"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6.2 Pessoal</w:t>
      </w:r>
    </w:p>
    <w:p w14:paraId="7A9A7240"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6.3 Instalações e condições ambientais</w:t>
      </w:r>
    </w:p>
    <w:p w14:paraId="121DEFC6"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6.4 Equipamentos</w:t>
      </w:r>
    </w:p>
    <w:p w14:paraId="21842F69"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6.5 Rastreabilidade metrológica</w:t>
      </w:r>
    </w:p>
    <w:p w14:paraId="671B96A0"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6.6 Produtos e serviços providos externamente</w:t>
      </w:r>
    </w:p>
    <w:p w14:paraId="286E5CE8" w14:textId="77777777" w:rsidR="00974C69" w:rsidRPr="002102FA" w:rsidRDefault="00974C69" w:rsidP="003473E0">
      <w:pPr>
        <w:pStyle w:val="Ttulo2"/>
        <w:spacing w:before="480" w:after="480" w:line="360" w:lineRule="auto"/>
        <w:ind w:left="578" w:hanging="578"/>
        <w:rPr>
          <w:rFonts w:eastAsia="Verdana" w:cstheme="majorHAnsi"/>
          <w:bCs/>
        </w:rPr>
      </w:pPr>
      <w:bookmarkStart w:id="58" w:name="_Toc8656726"/>
      <w:bookmarkStart w:id="59" w:name="_Toc22564437"/>
      <w:r w:rsidRPr="002102FA">
        <w:rPr>
          <w:rFonts w:eastAsia="Verdana" w:cstheme="majorHAnsi"/>
          <w:bCs/>
        </w:rPr>
        <w:t>Requisitos de Processo</w:t>
      </w:r>
      <w:bookmarkEnd w:id="58"/>
      <w:bookmarkEnd w:id="59"/>
    </w:p>
    <w:p w14:paraId="2CEEEF86" w14:textId="77777777" w:rsidR="00974C69" w:rsidRPr="002102FA" w:rsidRDefault="00974C69" w:rsidP="008F2A8A">
      <w:pPr>
        <w:tabs>
          <w:tab w:val="left" w:pos="2268"/>
        </w:tabs>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drawing>
          <wp:anchor distT="0" distB="0" distL="114300" distR="114300" simplePos="0" relativeHeight="251686912" behindDoc="0" locked="0" layoutInCell="1" allowOverlap="1" wp14:anchorId="68009527" wp14:editId="7966D673">
            <wp:simplePos x="0" y="0"/>
            <wp:positionH relativeFrom="column">
              <wp:posOffset>-1270</wp:posOffset>
            </wp:positionH>
            <wp:positionV relativeFrom="paragraph">
              <wp:posOffset>27940</wp:posOffset>
            </wp:positionV>
            <wp:extent cx="1418901" cy="1059180"/>
            <wp:effectExtent l="0" t="0" r="0" b="7620"/>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1_12.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8901"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2FA">
        <w:rPr>
          <w:rFonts w:asciiTheme="majorHAnsi" w:hAnsiTheme="majorHAnsi" w:cstheme="majorHAnsi"/>
        </w:rPr>
        <w:t xml:space="preserve"> A seção 07 especifica os requisitos relacionados às atividades técnicas para a realização das atividades de laboratório na sequência de um processo, o que deixa o entendimento da seção como um todo, mais fácil.</w:t>
      </w:r>
    </w:p>
    <w:p w14:paraId="6567A6D8"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w:t>
      </w:r>
      <w:r w:rsidRPr="002102FA">
        <w:rPr>
          <w:rFonts w:asciiTheme="majorHAnsi" w:hAnsiTheme="majorHAnsi" w:cstheme="majorHAnsi"/>
          <w:b/>
          <w:i/>
        </w:rPr>
        <w:t>Obs.:</w:t>
      </w:r>
      <w:r w:rsidRPr="002102FA">
        <w:rPr>
          <w:rFonts w:asciiTheme="majorHAnsi" w:hAnsiTheme="majorHAnsi" w:cstheme="majorHAnsi"/>
          <w:i/>
        </w:rPr>
        <w:t xml:space="preserve"> A numeração abaixo está de acordo com os tópicos da norma.)</w:t>
      </w:r>
    </w:p>
    <w:p w14:paraId="54788B07"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7.1 Análise crítica de pedidos, propostas e contratos</w:t>
      </w:r>
    </w:p>
    <w:p w14:paraId="2F7A6E3A"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7.2 Seleção, verificação e validação de métodos</w:t>
      </w:r>
    </w:p>
    <w:p w14:paraId="06E36304"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7.3 Amostragem</w:t>
      </w:r>
    </w:p>
    <w:p w14:paraId="5C5A4FEA"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7.4 Manuseio de itens de ensaio ou calibração</w:t>
      </w:r>
    </w:p>
    <w:p w14:paraId="0FB8BE72"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7.5 Registros técnicos</w:t>
      </w:r>
    </w:p>
    <w:p w14:paraId="3D6EC73F"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7.6 Avaliação da incerteza de medição</w:t>
      </w:r>
    </w:p>
    <w:p w14:paraId="5DDE9FB1"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7.7 Garantia da validade dos resultados</w:t>
      </w:r>
    </w:p>
    <w:p w14:paraId="40A1210B"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7.8 Relato de resultados</w:t>
      </w:r>
    </w:p>
    <w:p w14:paraId="007D7160"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7.9 Reclamações</w:t>
      </w:r>
    </w:p>
    <w:p w14:paraId="67732333"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7.10 Trabalho não conforme</w:t>
      </w:r>
    </w:p>
    <w:p w14:paraId="7DD72CBD" w14:textId="1B9D9121" w:rsidR="004D1E72" w:rsidRPr="003473E0"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7.11 Controle de dados e gestão da informação</w:t>
      </w:r>
    </w:p>
    <w:p w14:paraId="55EDF838" w14:textId="77777777" w:rsidR="00974C69" w:rsidRPr="002102FA" w:rsidRDefault="00974C69" w:rsidP="003473E0">
      <w:pPr>
        <w:pStyle w:val="Ttulo2"/>
        <w:spacing w:before="480" w:after="480" w:line="360" w:lineRule="auto"/>
        <w:ind w:left="578" w:hanging="578"/>
        <w:rPr>
          <w:rFonts w:eastAsia="Verdana" w:cstheme="majorHAnsi"/>
          <w:bCs/>
        </w:rPr>
      </w:pPr>
      <w:bookmarkStart w:id="60" w:name="_Toc8656727"/>
      <w:bookmarkStart w:id="61" w:name="_Toc22564438"/>
      <w:r w:rsidRPr="002102FA">
        <w:rPr>
          <w:rFonts w:eastAsia="Verdana" w:cstheme="majorHAnsi"/>
          <w:bCs/>
        </w:rPr>
        <w:lastRenderedPageBreak/>
        <w:t>Requisitos do sistema de gestão</w:t>
      </w:r>
      <w:bookmarkEnd w:id="60"/>
      <w:bookmarkEnd w:id="61"/>
    </w:p>
    <w:p w14:paraId="2558682B" w14:textId="77777777" w:rsidR="00974C69" w:rsidRPr="002102FA" w:rsidRDefault="00974C69" w:rsidP="008F2A8A">
      <w:pPr>
        <w:tabs>
          <w:tab w:val="left" w:pos="2268"/>
        </w:tabs>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noProof/>
          <w:lang w:eastAsia="pt-BR"/>
        </w:rPr>
        <w:drawing>
          <wp:anchor distT="0" distB="0" distL="114300" distR="114300" simplePos="0" relativeHeight="251683840" behindDoc="0" locked="0" layoutInCell="1" allowOverlap="1" wp14:anchorId="793DFF72" wp14:editId="5A7DBA6A">
            <wp:simplePos x="0" y="0"/>
            <wp:positionH relativeFrom="column">
              <wp:posOffset>-1270</wp:posOffset>
            </wp:positionH>
            <wp:positionV relativeFrom="paragraph">
              <wp:posOffset>27305</wp:posOffset>
            </wp:positionV>
            <wp:extent cx="1439318" cy="1074420"/>
            <wp:effectExtent l="0" t="0" r="8890" b="0"/>
            <wp:wrapSquare wrapText="bothSides"/>
            <wp:docPr id="27" name="Imagem 27"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1_12.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9318"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2FA">
        <w:rPr>
          <w:rFonts w:asciiTheme="majorHAnsi" w:hAnsiTheme="majorHAnsi" w:cstheme="majorHAnsi"/>
        </w:rPr>
        <w:t xml:space="preserve"> A seção 08 especifica os requisitos para a implantação e manutenção do sistema de gestão da qualidade do laboratório.</w:t>
      </w:r>
    </w:p>
    <w:p w14:paraId="4BA0FBB5" w14:textId="77777777" w:rsidR="00974C69" w:rsidRPr="002102FA" w:rsidRDefault="00974C69" w:rsidP="008F2A8A">
      <w:pPr>
        <w:tabs>
          <w:tab w:val="left" w:pos="426"/>
        </w:tabs>
        <w:autoSpaceDE w:val="0"/>
        <w:autoSpaceDN w:val="0"/>
        <w:adjustRightInd w:val="0"/>
        <w:spacing w:before="240" w:after="240" w:line="360" w:lineRule="auto"/>
        <w:contextualSpacing/>
        <w:jc w:val="both"/>
        <w:rPr>
          <w:rFonts w:asciiTheme="majorHAnsi" w:hAnsiTheme="majorHAnsi" w:cstheme="majorHAnsi"/>
        </w:rPr>
      </w:pPr>
    </w:p>
    <w:p w14:paraId="79E53088" w14:textId="77777777" w:rsidR="00974C69" w:rsidRPr="002102FA" w:rsidRDefault="00974C69"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w:t>
      </w:r>
      <w:r w:rsidRPr="002102FA">
        <w:rPr>
          <w:rFonts w:asciiTheme="majorHAnsi" w:hAnsiTheme="majorHAnsi" w:cstheme="majorHAnsi"/>
          <w:b/>
          <w:i/>
        </w:rPr>
        <w:t>Obs.:</w:t>
      </w:r>
      <w:r w:rsidRPr="002102FA">
        <w:rPr>
          <w:rFonts w:asciiTheme="majorHAnsi" w:hAnsiTheme="majorHAnsi" w:cstheme="majorHAnsi"/>
          <w:i/>
        </w:rPr>
        <w:t xml:space="preserve"> A numeração abaixo está de acordo com os tópicos da norma.)</w:t>
      </w:r>
    </w:p>
    <w:p w14:paraId="6883D32E"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8.1 Opções</w:t>
      </w:r>
    </w:p>
    <w:p w14:paraId="24497CA1"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8.2 Documentação do sistema de gestão (Opção A)</w:t>
      </w:r>
    </w:p>
    <w:p w14:paraId="323EFC10"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8.3 Controle de documentos do sistema de gestão (Opção A)</w:t>
      </w:r>
    </w:p>
    <w:p w14:paraId="3558C7E8"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8.4 Controle de registros (Opção A)</w:t>
      </w:r>
    </w:p>
    <w:p w14:paraId="29F9DDCF"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8.5 Ações para abordar riscos e oportunidades (Opção A)</w:t>
      </w:r>
    </w:p>
    <w:p w14:paraId="71BF0F76"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8.6 Melhoria (Opção A)</w:t>
      </w:r>
    </w:p>
    <w:p w14:paraId="49C103B9"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8.7 Ações corretivas (Opção A)</w:t>
      </w:r>
    </w:p>
    <w:p w14:paraId="0CB8B2BE"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8.8 Auditorias internas (Opção A)</w:t>
      </w:r>
    </w:p>
    <w:p w14:paraId="24ADD108" w14:textId="77777777" w:rsidR="00974C69" w:rsidRPr="002102FA" w:rsidRDefault="00974C69" w:rsidP="008F2A8A">
      <w:pPr>
        <w:pStyle w:val="PargrafodaLista"/>
        <w:numPr>
          <w:ilvl w:val="0"/>
          <w:numId w:val="13"/>
        </w:numPr>
        <w:tabs>
          <w:tab w:val="left" w:pos="426"/>
        </w:tabs>
        <w:autoSpaceDE w:val="0"/>
        <w:autoSpaceDN w:val="0"/>
        <w:adjustRightInd w:val="0"/>
        <w:spacing w:before="240" w:after="240" w:line="360" w:lineRule="auto"/>
        <w:ind w:left="0" w:firstLine="0"/>
        <w:jc w:val="both"/>
        <w:rPr>
          <w:rFonts w:asciiTheme="majorHAnsi" w:hAnsiTheme="majorHAnsi" w:cstheme="majorHAnsi"/>
        </w:rPr>
      </w:pPr>
      <w:r w:rsidRPr="002102FA">
        <w:rPr>
          <w:rFonts w:asciiTheme="majorHAnsi" w:hAnsiTheme="majorHAnsi" w:cstheme="majorHAnsi"/>
        </w:rPr>
        <w:t>8.9 Análises críticas pela gerência (Opção A)</w:t>
      </w:r>
    </w:p>
    <w:p w14:paraId="3B38E79D" w14:textId="77777777" w:rsidR="00974C69" w:rsidRPr="002102FA" w:rsidRDefault="00974C69" w:rsidP="008F2A8A">
      <w:pPr>
        <w:tabs>
          <w:tab w:val="left" w:pos="426"/>
        </w:tabs>
        <w:autoSpaceDE w:val="0"/>
        <w:autoSpaceDN w:val="0"/>
        <w:adjustRightInd w:val="0"/>
        <w:spacing w:before="240" w:after="240" w:line="360" w:lineRule="auto"/>
        <w:contextualSpacing/>
        <w:jc w:val="both"/>
        <w:rPr>
          <w:rFonts w:asciiTheme="majorHAnsi" w:hAnsiTheme="majorHAnsi" w:cstheme="majorHAnsi"/>
        </w:rPr>
      </w:pPr>
    </w:p>
    <w:p w14:paraId="111A455C" w14:textId="77777777" w:rsidR="00974C69" w:rsidRPr="002102FA" w:rsidRDefault="00974C69" w:rsidP="008F2A8A">
      <w:pPr>
        <w:tabs>
          <w:tab w:val="left" w:pos="426"/>
        </w:tabs>
        <w:autoSpaceDE w:val="0"/>
        <w:autoSpaceDN w:val="0"/>
        <w:adjustRightInd w:val="0"/>
        <w:spacing w:before="240" w:after="240" w:line="360" w:lineRule="auto"/>
        <w:contextualSpacing/>
        <w:jc w:val="both"/>
        <w:rPr>
          <w:rFonts w:asciiTheme="majorHAnsi" w:hAnsiTheme="majorHAnsi" w:cstheme="majorHAnsi"/>
        </w:rPr>
      </w:pPr>
      <w:r w:rsidRPr="002102FA">
        <w:rPr>
          <w:rFonts w:asciiTheme="majorHAnsi" w:hAnsiTheme="majorHAnsi" w:cstheme="majorHAnsi"/>
        </w:rPr>
        <w:t>E finalizando a estrutura da norma,</w:t>
      </w:r>
    </w:p>
    <w:p w14:paraId="37E38D4D" w14:textId="77777777" w:rsidR="00974C69" w:rsidRPr="002102FA" w:rsidRDefault="00974C69" w:rsidP="008F2A8A">
      <w:pPr>
        <w:tabs>
          <w:tab w:val="left" w:pos="426"/>
        </w:tabs>
        <w:autoSpaceDE w:val="0"/>
        <w:autoSpaceDN w:val="0"/>
        <w:adjustRightInd w:val="0"/>
        <w:spacing w:before="240" w:after="240" w:line="360" w:lineRule="auto"/>
        <w:contextualSpacing/>
        <w:jc w:val="both"/>
        <w:rPr>
          <w:rFonts w:asciiTheme="majorHAnsi" w:hAnsiTheme="majorHAnsi" w:cstheme="majorHAnsi"/>
        </w:rPr>
      </w:pPr>
    </w:p>
    <w:p w14:paraId="2FB08343" w14:textId="77777777" w:rsidR="00974C69" w:rsidRPr="002102FA" w:rsidRDefault="00974C69" w:rsidP="008F2A8A">
      <w:pPr>
        <w:tabs>
          <w:tab w:val="left" w:pos="426"/>
        </w:tabs>
        <w:autoSpaceDE w:val="0"/>
        <w:autoSpaceDN w:val="0"/>
        <w:adjustRightInd w:val="0"/>
        <w:spacing w:before="240" w:after="240" w:line="360" w:lineRule="auto"/>
        <w:contextualSpacing/>
        <w:jc w:val="both"/>
        <w:rPr>
          <w:rFonts w:asciiTheme="majorHAnsi" w:hAnsiTheme="majorHAnsi" w:cstheme="majorHAnsi"/>
        </w:rPr>
      </w:pPr>
      <w:r w:rsidRPr="002102FA">
        <w:rPr>
          <w:rFonts w:asciiTheme="majorHAnsi" w:hAnsiTheme="majorHAnsi" w:cstheme="majorHAnsi"/>
          <w:b/>
          <w:color w:val="E1B937"/>
        </w:rPr>
        <w:t>Anexo A –</w:t>
      </w:r>
      <w:r w:rsidRPr="002102FA">
        <w:rPr>
          <w:rFonts w:asciiTheme="majorHAnsi" w:hAnsiTheme="majorHAnsi" w:cstheme="majorHAnsi"/>
        </w:rPr>
        <w:t xml:space="preserve"> Rastreabilidade metrológica</w:t>
      </w:r>
    </w:p>
    <w:p w14:paraId="21A87556" w14:textId="77777777" w:rsidR="00974C69" w:rsidRPr="002102FA" w:rsidRDefault="00974C69" w:rsidP="008F2A8A">
      <w:pPr>
        <w:tabs>
          <w:tab w:val="left" w:pos="426"/>
        </w:tabs>
        <w:autoSpaceDE w:val="0"/>
        <w:autoSpaceDN w:val="0"/>
        <w:adjustRightInd w:val="0"/>
        <w:spacing w:before="240" w:after="240" w:line="360" w:lineRule="auto"/>
        <w:contextualSpacing/>
        <w:jc w:val="both"/>
        <w:rPr>
          <w:rFonts w:asciiTheme="majorHAnsi" w:hAnsiTheme="majorHAnsi" w:cstheme="majorHAnsi"/>
        </w:rPr>
      </w:pPr>
      <w:r w:rsidRPr="002102FA">
        <w:rPr>
          <w:rFonts w:asciiTheme="majorHAnsi" w:hAnsiTheme="majorHAnsi" w:cstheme="majorHAnsi"/>
          <w:b/>
          <w:color w:val="E1B937"/>
        </w:rPr>
        <w:t>Anexo B –</w:t>
      </w:r>
      <w:r w:rsidRPr="002102FA">
        <w:rPr>
          <w:rFonts w:asciiTheme="majorHAnsi" w:hAnsiTheme="majorHAnsi" w:cstheme="majorHAnsi"/>
          <w:color w:val="E1B937"/>
        </w:rPr>
        <w:t xml:space="preserve"> </w:t>
      </w:r>
      <w:r w:rsidRPr="002102FA">
        <w:rPr>
          <w:rFonts w:asciiTheme="majorHAnsi" w:hAnsiTheme="majorHAnsi" w:cstheme="majorHAnsi"/>
        </w:rPr>
        <w:t>Opções para o sistema de gestão</w:t>
      </w:r>
    </w:p>
    <w:p w14:paraId="56AA2F78" w14:textId="77777777" w:rsidR="00974C69" w:rsidRPr="002102FA" w:rsidRDefault="00974C69" w:rsidP="008F2A8A">
      <w:pPr>
        <w:tabs>
          <w:tab w:val="left" w:pos="426"/>
        </w:tabs>
        <w:autoSpaceDE w:val="0"/>
        <w:autoSpaceDN w:val="0"/>
        <w:adjustRightInd w:val="0"/>
        <w:spacing w:before="240" w:after="240" w:line="360" w:lineRule="auto"/>
        <w:contextualSpacing/>
        <w:jc w:val="both"/>
        <w:rPr>
          <w:rFonts w:asciiTheme="majorHAnsi" w:hAnsiTheme="majorHAnsi" w:cstheme="majorHAnsi"/>
        </w:rPr>
      </w:pPr>
      <w:r w:rsidRPr="002102FA">
        <w:rPr>
          <w:rFonts w:asciiTheme="majorHAnsi" w:hAnsiTheme="majorHAnsi" w:cstheme="majorHAnsi"/>
        </w:rPr>
        <w:t xml:space="preserve"> </w:t>
      </w:r>
    </w:p>
    <w:p w14:paraId="0411CB28" w14:textId="77777777" w:rsidR="003473E0" w:rsidRDefault="003473E0" w:rsidP="008F2A8A">
      <w:pPr>
        <w:autoSpaceDE w:val="0"/>
        <w:autoSpaceDN w:val="0"/>
        <w:adjustRightInd w:val="0"/>
        <w:spacing w:before="240" w:after="240" w:line="360" w:lineRule="auto"/>
        <w:jc w:val="both"/>
        <w:rPr>
          <w:rFonts w:asciiTheme="majorHAnsi" w:hAnsiTheme="majorHAnsi" w:cstheme="majorHAnsi"/>
          <w:i/>
        </w:rPr>
      </w:pPr>
    </w:p>
    <w:p w14:paraId="39AB6877" w14:textId="77777777" w:rsidR="003473E0" w:rsidRDefault="003473E0" w:rsidP="008F2A8A">
      <w:pPr>
        <w:autoSpaceDE w:val="0"/>
        <w:autoSpaceDN w:val="0"/>
        <w:adjustRightInd w:val="0"/>
        <w:spacing w:before="240" w:after="240" w:line="360" w:lineRule="auto"/>
        <w:jc w:val="both"/>
        <w:rPr>
          <w:rFonts w:asciiTheme="majorHAnsi" w:hAnsiTheme="majorHAnsi" w:cstheme="majorHAnsi"/>
          <w:i/>
        </w:rPr>
      </w:pPr>
    </w:p>
    <w:p w14:paraId="42533F2F" w14:textId="77777777" w:rsidR="003473E0" w:rsidRDefault="00974C69" w:rsidP="008F2A8A">
      <w:pPr>
        <w:autoSpaceDE w:val="0"/>
        <w:autoSpaceDN w:val="0"/>
        <w:adjustRightInd w:val="0"/>
        <w:spacing w:before="240" w:after="240" w:line="360" w:lineRule="auto"/>
        <w:jc w:val="both"/>
        <w:rPr>
          <w:rFonts w:asciiTheme="majorHAnsi" w:hAnsiTheme="majorHAnsi" w:cstheme="majorHAnsi"/>
          <w:i/>
        </w:rPr>
      </w:pPr>
      <w:r w:rsidRPr="002102FA">
        <w:rPr>
          <w:rFonts w:asciiTheme="majorHAnsi" w:hAnsiTheme="majorHAnsi" w:cstheme="majorHAnsi"/>
          <w:i/>
        </w:rPr>
        <w:t>Por hoje é só!</w:t>
      </w:r>
    </w:p>
    <w:p w14:paraId="46637763" w14:textId="0EABD255" w:rsidR="006C444B" w:rsidRPr="002102FA" w:rsidRDefault="006C444B" w:rsidP="008F2A8A">
      <w:pPr>
        <w:autoSpaceDE w:val="0"/>
        <w:autoSpaceDN w:val="0"/>
        <w:adjustRightInd w:val="0"/>
        <w:spacing w:before="240" w:after="240" w:line="360" w:lineRule="auto"/>
        <w:jc w:val="both"/>
        <w:rPr>
          <w:rFonts w:asciiTheme="majorHAnsi" w:hAnsiTheme="majorHAnsi" w:cstheme="majorHAnsi"/>
        </w:rPr>
      </w:pPr>
      <w:r w:rsidRPr="002102FA">
        <w:rPr>
          <w:rFonts w:asciiTheme="majorHAnsi" w:hAnsiTheme="majorHAnsi" w:cstheme="majorHAnsi"/>
        </w:rPr>
        <w:t>Na próxima aula falaremos sobre incerteza de medição, erros, métodos e também sobre as características das medições.</w:t>
      </w:r>
    </w:p>
    <w:p w14:paraId="2C2EC279" w14:textId="77777777" w:rsidR="00C65DA0" w:rsidRPr="002102FA" w:rsidRDefault="00C65DA0" w:rsidP="008F2A8A">
      <w:pPr>
        <w:spacing w:before="240" w:after="240" w:line="360" w:lineRule="auto"/>
        <w:rPr>
          <w:rFonts w:asciiTheme="majorHAnsi" w:hAnsiTheme="majorHAnsi" w:cstheme="majorHAnsi"/>
        </w:rPr>
      </w:pPr>
    </w:p>
    <w:sectPr w:rsidR="00C65DA0" w:rsidRPr="002102FA" w:rsidSect="003473E0">
      <w:headerReference w:type="default" r:id="rId49"/>
      <w:footerReference w:type="default" r:id="rId50"/>
      <w:pgSz w:w="11906" w:h="16838"/>
      <w:pgMar w:top="993" w:right="1134" w:bottom="851" w:left="1134"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9FEAB" w14:textId="77777777" w:rsidR="006B52DF" w:rsidRDefault="006B52DF">
      <w:pPr>
        <w:spacing w:after="0" w:line="240" w:lineRule="auto"/>
      </w:pPr>
      <w:r>
        <w:separator/>
      </w:r>
    </w:p>
  </w:endnote>
  <w:endnote w:type="continuationSeparator" w:id="0">
    <w:p w14:paraId="181E11E0" w14:textId="77777777" w:rsidR="006B52DF" w:rsidRDefault="006B5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
    <w:altName w:val="Segoe Script"/>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1FAD1" w14:textId="647B1B31" w:rsidR="002B51EA" w:rsidRDefault="002B51EA">
    <w:pPr>
      <w:pStyle w:val="Rodap"/>
      <w:jc w:val="right"/>
    </w:pPr>
  </w:p>
  <w:p w14:paraId="258FF8E5" w14:textId="77777777" w:rsidR="002B51EA" w:rsidRDefault="002B51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3726026"/>
      <w:docPartObj>
        <w:docPartGallery w:val="Page Numbers (Bottom of Page)"/>
        <w:docPartUnique/>
      </w:docPartObj>
    </w:sdtPr>
    <w:sdtEndPr/>
    <w:sdtContent>
      <w:p w14:paraId="44ACC2D2" w14:textId="42726874" w:rsidR="002B51EA" w:rsidRDefault="002B51EA">
        <w:pPr>
          <w:pStyle w:val="Rodap"/>
          <w:jc w:val="right"/>
        </w:pPr>
        <w:r>
          <w:fldChar w:fldCharType="begin"/>
        </w:r>
        <w:r>
          <w:instrText>PAGE   \* MERGEFORMAT</w:instrText>
        </w:r>
        <w:r>
          <w:fldChar w:fldCharType="separate"/>
        </w:r>
        <w:r w:rsidR="00C555DB">
          <w:rPr>
            <w:noProof/>
          </w:rPr>
          <w:t>22</w:t>
        </w:r>
        <w:r>
          <w:fldChar w:fldCharType="end"/>
        </w:r>
      </w:p>
    </w:sdtContent>
  </w:sdt>
  <w:p w14:paraId="3E858E28" w14:textId="77777777" w:rsidR="002B51EA" w:rsidRDefault="002B51E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268A9" w14:textId="77777777" w:rsidR="006B52DF" w:rsidRDefault="006B52DF">
      <w:pPr>
        <w:spacing w:after="0" w:line="240" w:lineRule="auto"/>
      </w:pPr>
      <w:r>
        <w:separator/>
      </w:r>
    </w:p>
  </w:footnote>
  <w:footnote w:type="continuationSeparator" w:id="0">
    <w:p w14:paraId="6E823A6E" w14:textId="77777777" w:rsidR="006B52DF" w:rsidRDefault="006B5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B97B8" w14:textId="4D38443E" w:rsidR="002B51EA" w:rsidRDefault="002B51EA" w:rsidP="000518CB">
    <w:pPr>
      <w:pStyle w:val="Cabealho"/>
      <w:tabs>
        <w:tab w:val="clear" w:pos="4252"/>
        <w:tab w:val="clear" w:pos="8504"/>
        <w:tab w:val="left" w:pos="5912"/>
      </w:tabs>
      <w:jc w:val="right"/>
      <w:rPr>
        <w:rFonts w:ascii="Eurostile" w:hAnsi="Eurostile"/>
        <w:noProof/>
        <w:color w:val="808080" w:themeColor="background1" w:themeShade="80"/>
        <w:lang w:eastAsia="pt-BR"/>
      </w:rPr>
    </w:pPr>
    <w:r>
      <w:rPr>
        <w:rFonts w:ascii="Eurostile" w:hAnsi="Eurostile"/>
        <w:noProof/>
        <w:color w:val="808080" w:themeColor="background1" w:themeShade="80"/>
        <w:lang w:eastAsia="pt-BR"/>
      </w:rPr>
      <w:tab/>
    </w:r>
  </w:p>
  <w:p w14:paraId="6EC8157A" w14:textId="77777777" w:rsidR="002B51EA" w:rsidRDefault="002B51E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FDF7A" w14:textId="36775A27" w:rsidR="002B51EA" w:rsidRDefault="00164D26" w:rsidP="000518CB">
    <w:pPr>
      <w:pStyle w:val="Cabealho"/>
      <w:tabs>
        <w:tab w:val="clear" w:pos="4252"/>
        <w:tab w:val="clear" w:pos="8504"/>
        <w:tab w:val="left" w:pos="5912"/>
      </w:tabs>
      <w:jc w:val="right"/>
      <w:rPr>
        <w:rFonts w:ascii="Eurostile" w:hAnsi="Eurostile"/>
        <w:noProof/>
        <w:color w:val="808080" w:themeColor="background1" w:themeShade="80"/>
        <w:lang w:eastAsia="pt-BR"/>
      </w:rPr>
    </w:pPr>
    <w:r w:rsidRPr="00604E39">
      <w:rPr>
        <w:noProof/>
        <w:lang w:eastAsia="pt-BR"/>
      </w:rPr>
      <w:drawing>
        <wp:anchor distT="0" distB="0" distL="114300" distR="114300" simplePos="0" relativeHeight="251662336" behindDoc="0" locked="0" layoutInCell="1" allowOverlap="1" wp14:anchorId="261C030A" wp14:editId="1BDF895F">
          <wp:simplePos x="0" y="0"/>
          <wp:positionH relativeFrom="margin">
            <wp:align>right</wp:align>
          </wp:positionH>
          <wp:positionV relativeFrom="paragraph">
            <wp:posOffset>-48260</wp:posOffset>
          </wp:positionV>
          <wp:extent cx="6120130" cy="294804"/>
          <wp:effectExtent l="0" t="0" r="0" b="0"/>
          <wp:wrapSquare wrapText="bothSides"/>
          <wp:docPr id="40" name="Imagem 40" descr="C:\Users\Aline\Google Drive\2 - Projeto Entib - Google Drive\Capas novas Entib\16781 - Qualificação e certificação de metrologistas\rotuloSUPCursos_ENTIB_16781.2019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Capas novas Entib\16781 - Qualificação e certificação de metrologistas\rotuloSUPCursos_ENTIB_16781.2019_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4804"/>
                  </a:xfrm>
                  <a:prstGeom prst="rect">
                    <a:avLst/>
                  </a:prstGeom>
                  <a:noFill/>
                  <a:ln>
                    <a:noFill/>
                  </a:ln>
                </pic:spPr>
              </pic:pic>
            </a:graphicData>
          </a:graphic>
          <wp14:sizeRelH relativeFrom="page">
            <wp14:pctWidth>0</wp14:pctWidth>
          </wp14:sizeRelH>
          <wp14:sizeRelV relativeFrom="page">
            <wp14:pctHeight>0</wp14:pctHeight>
          </wp14:sizeRelV>
        </wp:anchor>
      </w:drawing>
    </w:r>
    <w:r w:rsidR="008324FC">
      <w:rPr>
        <w:noProof/>
      </w:rPr>
      <w:drawing>
        <wp:anchor distT="0" distB="0" distL="114300" distR="114300" simplePos="0" relativeHeight="251664384" behindDoc="1" locked="0" layoutInCell="1" allowOverlap="1" wp14:anchorId="3A232B38" wp14:editId="728D21EC">
          <wp:simplePos x="0" y="0"/>
          <wp:positionH relativeFrom="page">
            <wp:align>right</wp:align>
          </wp:positionH>
          <wp:positionV relativeFrom="paragraph">
            <wp:posOffset>-306705</wp:posOffset>
          </wp:positionV>
          <wp:extent cx="7539095" cy="10668000"/>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909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1EA">
      <w:rPr>
        <w:rFonts w:ascii="Eurostile" w:hAnsi="Eurostile"/>
        <w:noProof/>
        <w:color w:val="808080" w:themeColor="background1" w:themeShade="80"/>
        <w:lang w:eastAsia="pt-BR"/>
      </w:rPr>
      <w:t xml:space="preserve">                                             </w:t>
    </w:r>
    <w:r w:rsidR="002B51EA">
      <w:rPr>
        <w:rFonts w:ascii="Eurostile" w:hAnsi="Eurostile"/>
        <w:noProof/>
        <w:color w:val="808080" w:themeColor="background1" w:themeShade="80"/>
        <w:lang w:eastAsia="pt-BR"/>
      </w:rPr>
      <w:tab/>
    </w:r>
  </w:p>
  <w:p w14:paraId="7A7D102D" w14:textId="77777777" w:rsidR="002B51EA" w:rsidRDefault="002B51E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13817"/>
    <w:multiLevelType w:val="hybridMultilevel"/>
    <w:tmpl w:val="0C3238C2"/>
    <w:lvl w:ilvl="0" w:tplc="0416000D">
      <w:start w:val="1"/>
      <w:numFmt w:val="bullet"/>
      <w:lvlText w:val=""/>
      <w:lvlJc w:val="left"/>
      <w:pPr>
        <w:tabs>
          <w:tab w:val="num" w:pos="720"/>
        </w:tabs>
        <w:ind w:left="720" w:hanging="360"/>
      </w:pPr>
      <w:rPr>
        <w:rFonts w:ascii="Wingdings" w:hAnsi="Wingdings" w:hint="default"/>
      </w:rPr>
    </w:lvl>
    <w:lvl w:ilvl="1" w:tplc="C84EE392" w:tentative="1">
      <w:start w:val="1"/>
      <w:numFmt w:val="bullet"/>
      <w:lvlText w:val="-"/>
      <w:lvlJc w:val="left"/>
      <w:pPr>
        <w:tabs>
          <w:tab w:val="num" w:pos="1440"/>
        </w:tabs>
        <w:ind w:left="1440" w:hanging="360"/>
      </w:pPr>
      <w:rPr>
        <w:rFonts w:ascii="Times New Roman" w:hAnsi="Times New Roman" w:hint="default"/>
      </w:rPr>
    </w:lvl>
    <w:lvl w:ilvl="2" w:tplc="DA36C15A" w:tentative="1">
      <w:start w:val="1"/>
      <w:numFmt w:val="bullet"/>
      <w:lvlText w:val="-"/>
      <w:lvlJc w:val="left"/>
      <w:pPr>
        <w:tabs>
          <w:tab w:val="num" w:pos="2160"/>
        </w:tabs>
        <w:ind w:left="2160" w:hanging="360"/>
      </w:pPr>
      <w:rPr>
        <w:rFonts w:ascii="Times New Roman" w:hAnsi="Times New Roman" w:hint="default"/>
      </w:rPr>
    </w:lvl>
    <w:lvl w:ilvl="3" w:tplc="38EAE50E" w:tentative="1">
      <w:start w:val="1"/>
      <w:numFmt w:val="bullet"/>
      <w:lvlText w:val="-"/>
      <w:lvlJc w:val="left"/>
      <w:pPr>
        <w:tabs>
          <w:tab w:val="num" w:pos="2880"/>
        </w:tabs>
        <w:ind w:left="2880" w:hanging="360"/>
      </w:pPr>
      <w:rPr>
        <w:rFonts w:ascii="Times New Roman" w:hAnsi="Times New Roman" w:hint="default"/>
      </w:rPr>
    </w:lvl>
    <w:lvl w:ilvl="4" w:tplc="CE9EFD92" w:tentative="1">
      <w:start w:val="1"/>
      <w:numFmt w:val="bullet"/>
      <w:lvlText w:val="-"/>
      <w:lvlJc w:val="left"/>
      <w:pPr>
        <w:tabs>
          <w:tab w:val="num" w:pos="3600"/>
        </w:tabs>
        <w:ind w:left="3600" w:hanging="360"/>
      </w:pPr>
      <w:rPr>
        <w:rFonts w:ascii="Times New Roman" w:hAnsi="Times New Roman" w:hint="default"/>
      </w:rPr>
    </w:lvl>
    <w:lvl w:ilvl="5" w:tplc="8B5CE8AE" w:tentative="1">
      <w:start w:val="1"/>
      <w:numFmt w:val="bullet"/>
      <w:lvlText w:val="-"/>
      <w:lvlJc w:val="left"/>
      <w:pPr>
        <w:tabs>
          <w:tab w:val="num" w:pos="4320"/>
        </w:tabs>
        <w:ind w:left="4320" w:hanging="360"/>
      </w:pPr>
      <w:rPr>
        <w:rFonts w:ascii="Times New Roman" w:hAnsi="Times New Roman" w:hint="default"/>
      </w:rPr>
    </w:lvl>
    <w:lvl w:ilvl="6" w:tplc="E6C0190A" w:tentative="1">
      <w:start w:val="1"/>
      <w:numFmt w:val="bullet"/>
      <w:lvlText w:val="-"/>
      <w:lvlJc w:val="left"/>
      <w:pPr>
        <w:tabs>
          <w:tab w:val="num" w:pos="5040"/>
        </w:tabs>
        <w:ind w:left="5040" w:hanging="360"/>
      </w:pPr>
      <w:rPr>
        <w:rFonts w:ascii="Times New Roman" w:hAnsi="Times New Roman" w:hint="default"/>
      </w:rPr>
    </w:lvl>
    <w:lvl w:ilvl="7" w:tplc="F3964FF8" w:tentative="1">
      <w:start w:val="1"/>
      <w:numFmt w:val="bullet"/>
      <w:lvlText w:val="-"/>
      <w:lvlJc w:val="left"/>
      <w:pPr>
        <w:tabs>
          <w:tab w:val="num" w:pos="5760"/>
        </w:tabs>
        <w:ind w:left="5760" w:hanging="360"/>
      </w:pPr>
      <w:rPr>
        <w:rFonts w:ascii="Times New Roman" w:hAnsi="Times New Roman" w:hint="default"/>
      </w:rPr>
    </w:lvl>
    <w:lvl w:ilvl="8" w:tplc="31841F3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3BD781"/>
    <w:multiLevelType w:val="hybridMultilevel"/>
    <w:tmpl w:val="05ECAC7E"/>
    <w:lvl w:ilvl="0" w:tplc="33D84EEA">
      <w:start w:val="1"/>
      <w:numFmt w:val="bullet"/>
      <w:lvlText w:val=""/>
      <w:lvlJc w:val="left"/>
      <w:rPr>
        <w:rFonts w:ascii="Wingdings" w:hAnsi="Wingdings" w:hint="default"/>
      </w:rPr>
    </w:lvl>
    <w:lvl w:ilvl="1" w:tplc="04160019">
      <w:numFmt w:val="decimal"/>
      <w:lvlText w:val=""/>
      <w:lvlJc w:val="left"/>
    </w:lvl>
    <w:lvl w:ilvl="2" w:tplc="0416001B">
      <w:numFmt w:val="decimal"/>
      <w:lvlText w:val=""/>
      <w:lvlJc w:val="left"/>
    </w:lvl>
    <w:lvl w:ilvl="3" w:tplc="0416000F">
      <w:numFmt w:val="decimal"/>
      <w:lvlText w:val=""/>
      <w:lvlJc w:val="left"/>
    </w:lvl>
    <w:lvl w:ilvl="4" w:tplc="04160019">
      <w:numFmt w:val="decimal"/>
      <w:lvlText w:val=""/>
      <w:lvlJc w:val="left"/>
    </w:lvl>
    <w:lvl w:ilvl="5" w:tplc="0416001B">
      <w:numFmt w:val="decimal"/>
      <w:lvlText w:val=""/>
      <w:lvlJc w:val="left"/>
    </w:lvl>
    <w:lvl w:ilvl="6" w:tplc="0416000F">
      <w:numFmt w:val="decimal"/>
      <w:lvlText w:val=""/>
      <w:lvlJc w:val="left"/>
    </w:lvl>
    <w:lvl w:ilvl="7" w:tplc="04160019">
      <w:numFmt w:val="decimal"/>
      <w:lvlText w:val=""/>
      <w:lvlJc w:val="left"/>
    </w:lvl>
    <w:lvl w:ilvl="8" w:tplc="0416001B">
      <w:numFmt w:val="decimal"/>
      <w:lvlText w:val=""/>
      <w:lvlJc w:val="left"/>
    </w:lvl>
  </w:abstractNum>
  <w:abstractNum w:abstractNumId="3"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153BF3"/>
    <w:multiLevelType w:val="hybridMultilevel"/>
    <w:tmpl w:val="1D40614E"/>
    <w:lvl w:ilvl="0" w:tplc="FD9AA878">
      <w:start w:val="1"/>
      <w:numFmt w:val="bullet"/>
      <w:lvlText w:val=""/>
      <w:lvlJc w:val="left"/>
      <w:pPr>
        <w:ind w:left="720" w:hanging="360"/>
      </w:pPr>
      <w:rPr>
        <w:rFonts w:ascii="Symbol" w:hAnsi="Symbol" w:hint="default"/>
      </w:rPr>
    </w:lvl>
    <w:lvl w:ilvl="1" w:tplc="B7C4922A" w:tentative="1">
      <w:start w:val="1"/>
      <w:numFmt w:val="bullet"/>
      <w:lvlText w:val="o"/>
      <w:lvlJc w:val="left"/>
      <w:pPr>
        <w:ind w:left="1440" w:hanging="360"/>
      </w:pPr>
      <w:rPr>
        <w:rFonts w:ascii="Courier New" w:hAnsi="Courier New" w:cs="Courier New" w:hint="default"/>
      </w:rPr>
    </w:lvl>
    <w:lvl w:ilvl="2" w:tplc="C9204842" w:tentative="1">
      <w:start w:val="1"/>
      <w:numFmt w:val="bullet"/>
      <w:lvlText w:val=""/>
      <w:lvlJc w:val="left"/>
      <w:pPr>
        <w:ind w:left="2160" w:hanging="360"/>
      </w:pPr>
      <w:rPr>
        <w:rFonts w:ascii="Wingdings" w:hAnsi="Wingdings" w:hint="default"/>
      </w:rPr>
    </w:lvl>
    <w:lvl w:ilvl="3" w:tplc="75744DAA" w:tentative="1">
      <w:start w:val="1"/>
      <w:numFmt w:val="bullet"/>
      <w:lvlText w:val=""/>
      <w:lvlJc w:val="left"/>
      <w:pPr>
        <w:ind w:left="2880" w:hanging="360"/>
      </w:pPr>
      <w:rPr>
        <w:rFonts w:ascii="Symbol" w:hAnsi="Symbol" w:hint="default"/>
      </w:rPr>
    </w:lvl>
    <w:lvl w:ilvl="4" w:tplc="0BB20EB6" w:tentative="1">
      <w:start w:val="1"/>
      <w:numFmt w:val="bullet"/>
      <w:lvlText w:val="o"/>
      <w:lvlJc w:val="left"/>
      <w:pPr>
        <w:ind w:left="3600" w:hanging="360"/>
      </w:pPr>
      <w:rPr>
        <w:rFonts w:ascii="Courier New" w:hAnsi="Courier New" w:cs="Courier New" w:hint="default"/>
      </w:rPr>
    </w:lvl>
    <w:lvl w:ilvl="5" w:tplc="CE702022" w:tentative="1">
      <w:start w:val="1"/>
      <w:numFmt w:val="bullet"/>
      <w:lvlText w:val=""/>
      <w:lvlJc w:val="left"/>
      <w:pPr>
        <w:ind w:left="4320" w:hanging="360"/>
      </w:pPr>
      <w:rPr>
        <w:rFonts w:ascii="Wingdings" w:hAnsi="Wingdings" w:hint="default"/>
      </w:rPr>
    </w:lvl>
    <w:lvl w:ilvl="6" w:tplc="10ACF094" w:tentative="1">
      <w:start w:val="1"/>
      <w:numFmt w:val="bullet"/>
      <w:lvlText w:val=""/>
      <w:lvlJc w:val="left"/>
      <w:pPr>
        <w:ind w:left="5040" w:hanging="360"/>
      </w:pPr>
      <w:rPr>
        <w:rFonts w:ascii="Symbol" w:hAnsi="Symbol" w:hint="default"/>
      </w:rPr>
    </w:lvl>
    <w:lvl w:ilvl="7" w:tplc="EF6E0CAA" w:tentative="1">
      <w:start w:val="1"/>
      <w:numFmt w:val="bullet"/>
      <w:lvlText w:val="o"/>
      <w:lvlJc w:val="left"/>
      <w:pPr>
        <w:ind w:left="5760" w:hanging="360"/>
      </w:pPr>
      <w:rPr>
        <w:rFonts w:ascii="Courier New" w:hAnsi="Courier New" w:cs="Courier New" w:hint="default"/>
      </w:rPr>
    </w:lvl>
    <w:lvl w:ilvl="8" w:tplc="50B8FC7C" w:tentative="1">
      <w:start w:val="1"/>
      <w:numFmt w:val="bullet"/>
      <w:lvlText w:val=""/>
      <w:lvlJc w:val="left"/>
      <w:pPr>
        <w:ind w:left="6480" w:hanging="360"/>
      </w:pPr>
      <w:rPr>
        <w:rFonts w:ascii="Wingdings" w:hAnsi="Wingdings" w:hint="default"/>
      </w:rPr>
    </w:lvl>
  </w:abstractNum>
  <w:abstractNum w:abstractNumId="5"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9C03FA"/>
    <w:multiLevelType w:val="hybridMultilevel"/>
    <w:tmpl w:val="8288282C"/>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EF77255"/>
    <w:multiLevelType w:val="hybridMultilevel"/>
    <w:tmpl w:val="645457B2"/>
    <w:lvl w:ilvl="0" w:tplc="8BD285E8">
      <w:start w:val="1"/>
      <w:numFmt w:val="decimal"/>
      <w:lvlText w:val="%1."/>
      <w:lvlJc w:val="left"/>
      <w:pPr>
        <w:ind w:left="720" w:hanging="360"/>
      </w:pPr>
      <w:rPr>
        <w:rFonts w:hint="default"/>
      </w:rPr>
    </w:lvl>
    <w:lvl w:ilvl="1" w:tplc="90E62F4C" w:tentative="1">
      <w:start w:val="1"/>
      <w:numFmt w:val="lowerLetter"/>
      <w:lvlText w:val="%2."/>
      <w:lvlJc w:val="left"/>
      <w:pPr>
        <w:ind w:left="1440" w:hanging="360"/>
      </w:pPr>
    </w:lvl>
    <w:lvl w:ilvl="2" w:tplc="ED22B91A" w:tentative="1">
      <w:start w:val="1"/>
      <w:numFmt w:val="lowerRoman"/>
      <w:lvlText w:val="%3."/>
      <w:lvlJc w:val="right"/>
      <w:pPr>
        <w:ind w:left="2160" w:hanging="180"/>
      </w:pPr>
    </w:lvl>
    <w:lvl w:ilvl="3" w:tplc="AE0A25E6" w:tentative="1">
      <w:start w:val="1"/>
      <w:numFmt w:val="decimal"/>
      <w:lvlText w:val="%4."/>
      <w:lvlJc w:val="left"/>
      <w:pPr>
        <w:ind w:left="2880" w:hanging="360"/>
      </w:pPr>
    </w:lvl>
    <w:lvl w:ilvl="4" w:tplc="5D702AC8" w:tentative="1">
      <w:start w:val="1"/>
      <w:numFmt w:val="lowerLetter"/>
      <w:lvlText w:val="%5."/>
      <w:lvlJc w:val="left"/>
      <w:pPr>
        <w:ind w:left="3600" w:hanging="360"/>
      </w:pPr>
    </w:lvl>
    <w:lvl w:ilvl="5" w:tplc="99FE4C6A" w:tentative="1">
      <w:start w:val="1"/>
      <w:numFmt w:val="lowerRoman"/>
      <w:lvlText w:val="%6."/>
      <w:lvlJc w:val="right"/>
      <w:pPr>
        <w:ind w:left="4320" w:hanging="180"/>
      </w:pPr>
    </w:lvl>
    <w:lvl w:ilvl="6" w:tplc="15C8FFC0" w:tentative="1">
      <w:start w:val="1"/>
      <w:numFmt w:val="decimal"/>
      <w:lvlText w:val="%7."/>
      <w:lvlJc w:val="left"/>
      <w:pPr>
        <w:ind w:left="5040" w:hanging="360"/>
      </w:pPr>
    </w:lvl>
    <w:lvl w:ilvl="7" w:tplc="06AEB982" w:tentative="1">
      <w:start w:val="1"/>
      <w:numFmt w:val="lowerLetter"/>
      <w:lvlText w:val="%8."/>
      <w:lvlJc w:val="left"/>
      <w:pPr>
        <w:ind w:left="5760" w:hanging="360"/>
      </w:pPr>
    </w:lvl>
    <w:lvl w:ilvl="8" w:tplc="3E440200" w:tentative="1">
      <w:start w:val="1"/>
      <w:numFmt w:val="lowerRoman"/>
      <w:lvlText w:val="%9."/>
      <w:lvlJc w:val="right"/>
      <w:pPr>
        <w:ind w:left="6480" w:hanging="180"/>
      </w:pPr>
    </w:lvl>
  </w:abstractNum>
  <w:abstractNum w:abstractNumId="9" w15:restartNumberingAfterBreak="0">
    <w:nsid w:val="30810F7A"/>
    <w:multiLevelType w:val="hybridMultilevel"/>
    <w:tmpl w:val="EF2E45FA"/>
    <w:lvl w:ilvl="0" w:tplc="9CAA9346">
      <w:start w:val="1"/>
      <w:numFmt w:val="bullet"/>
      <w:lvlText w:val=""/>
      <w:lvlJc w:val="left"/>
      <w:pPr>
        <w:tabs>
          <w:tab w:val="num" w:pos="720"/>
        </w:tabs>
        <w:ind w:left="720" w:hanging="360"/>
      </w:pPr>
      <w:rPr>
        <w:rFonts w:ascii="Wingdings" w:hAnsi="Wingdings" w:hint="default"/>
      </w:rPr>
    </w:lvl>
    <w:lvl w:ilvl="1" w:tplc="04160019" w:tentative="1">
      <w:start w:val="1"/>
      <w:numFmt w:val="bullet"/>
      <w:lvlText w:val="-"/>
      <w:lvlJc w:val="left"/>
      <w:pPr>
        <w:tabs>
          <w:tab w:val="num" w:pos="1440"/>
        </w:tabs>
        <w:ind w:left="1440" w:hanging="360"/>
      </w:pPr>
      <w:rPr>
        <w:rFonts w:ascii="Times New Roman" w:hAnsi="Times New Roman" w:hint="default"/>
      </w:rPr>
    </w:lvl>
    <w:lvl w:ilvl="2" w:tplc="0416001B" w:tentative="1">
      <w:start w:val="1"/>
      <w:numFmt w:val="bullet"/>
      <w:lvlText w:val="-"/>
      <w:lvlJc w:val="left"/>
      <w:pPr>
        <w:tabs>
          <w:tab w:val="num" w:pos="2160"/>
        </w:tabs>
        <w:ind w:left="2160" w:hanging="360"/>
      </w:pPr>
      <w:rPr>
        <w:rFonts w:ascii="Times New Roman" w:hAnsi="Times New Roman" w:hint="default"/>
      </w:rPr>
    </w:lvl>
    <w:lvl w:ilvl="3" w:tplc="0416000F" w:tentative="1">
      <w:start w:val="1"/>
      <w:numFmt w:val="bullet"/>
      <w:lvlText w:val="-"/>
      <w:lvlJc w:val="left"/>
      <w:pPr>
        <w:tabs>
          <w:tab w:val="num" w:pos="2880"/>
        </w:tabs>
        <w:ind w:left="2880" w:hanging="360"/>
      </w:pPr>
      <w:rPr>
        <w:rFonts w:ascii="Times New Roman" w:hAnsi="Times New Roman" w:hint="default"/>
      </w:rPr>
    </w:lvl>
    <w:lvl w:ilvl="4" w:tplc="04160019" w:tentative="1">
      <w:start w:val="1"/>
      <w:numFmt w:val="bullet"/>
      <w:lvlText w:val="-"/>
      <w:lvlJc w:val="left"/>
      <w:pPr>
        <w:tabs>
          <w:tab w:val="num" w:pos="3600"/>
        </w:tabs>
        <w:ind w:left="3600" w:hanging="360"/>
      </w:pPr>
      <w:rPr>
        <w:rFonts w:ascii="Times New Roman" w:hAnsi="Times New Roman" w:hint="default"/>
      </w:rPr>
    </w:lvl>
    <w:lvl w:ilvl="5" w:tplc="0416001B" w:tentative="1">
      <w:start w:val="1"/>
      <w:numFmt w:val="bullet"/>
      <w:lvlText w:val="-"/>
      <w:lvlJc w:val="left"/>
      <w:pPr>
        <w:tabs>
          <w:tab w:val="num" w:pos="4320"/>
        </w:tabs>
        <w:ind w:left="4320" w:hanging="360"/>
      </w:pPr>
      <w:rPr>
        <w:rFonts w:ascii="Times New Roman" w:hAnsi="Times New Roman" w:hint="default"/>
      </w:rPr>
    </w:lvl>
    <w:lvl w:ilvl="6" w:tplc="0416000F" w:tentative="1">
      <w:start w:val="1"/>
      <w:numFmt w:val="bullet"/>
      <w:lvlText w:val="-"/>
      <w:lvlJc w:val="left"/>
      <w:pPr>
        <w:tabs>
          <w:tab w:val="num" w:pos="5040"/>
        </w:tabs>
        <w:ind w:left="5040" w:hanging="360"/>
      </w:pPr>
      <w:rPr>
        <w:rFonts w:ascii="Times New Roman" w:hAnsi="Times New Roman" w:hint="default"/>
      </w:rPr>
    </w:lvl>
    <w:lvl w:ilvl="7" w:tplc="04160019" w:tentative="1">
      <w:start w:val="1"/>
      <w:numFmt w:val="bullet"/>
      <w:lvlText w:val="-"/>
      <w:lvlJc w:val="left"/>
      <w:pPr>
        <w:tabs>
          <w:tab w:val="num" w:pos="5760"/>
        </w:tabs>
        <w:ind w:left="5760" w:hanging="360"/>
      </w:pPr>
      <w:rPr>
        <w:rFonts w:ascii="Times New Roman" w:hAnsi="Times New Roman" w:hint="default"/>
      </w:rPr>
    </w:lvl>
    <w:lvl w:ilvl="8" w:tplc="0416001B"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A57AB714" w:tentative="1">
      <w:start w:val="1"/>
      <w:numFmt w:val="bullet"/>
      <w:lvlText w:val="o"/>
      <w:lvlJc w:val="left"/>
      <w:pPr>
        <w:ind w:left="1440" w:hanging="360"/>
      </w:pPr>
      <w:rPr>
        <w:rFonts w:ascii="Courier New" w:hAnsi="Courier New" w:cs="Courier New" w:hint="default"/>
      </w:rPr>
    </w:lvl>
    <w:lvl w:ilvl="2" w:tplc="F504260E" w:tentative="1">
      <w:start w:val="1"/>
      <w:numFmt w:val="bullet"/>
      <w:lvlText w:val=""/>
      <w:lvlJc w:val="left"/>
      <w:pPr>
        <w:ind w:left="2160" w:hanging="360"/>
      </w:pPr>
      <w:rPr>
        <w:rFonts w:ascii="Wingdings" w:hAnsi="Wingdings" w:hint="default"/>
      </w:rPr>
    </w:lvl>
    <w:lvl w:ilvl="3" w:tplc="3978FE6E" w:tentative="1">
      <w:start w:val="1"/>
      <w:numFmt w:val="bullet"/>
      <w:lvlText w:val=""/>
      <w:lvlJc w:val="left"/>
      <w:pPr>
        <w:ind w:left="2880" w:hanging="360"/>
      </w:pPr>
      <w:rPr>
        <w:rFonts w:ascii="Symbol" w:hAnsi="Symbol" w:hint="default"/>
      </w:rPr>
    </w:lvl>
    <w:lvl w:ilvl="4" w:tplc="6948549A" w:tentative="1">
      <w:start w:val="1"/>
      <w:numFmt w:val="bullet"/>
      <w:lvlText w:val="o"/>
      <w:lvlJc w:val="left"/>
      <w:pPr>
        <w:ind w:left="3600" w:hanging="360"/>
      </w:pPr>
      <w:rPr>
        <w:rFonts w:ascii="Courier New" w:hAnsi="Courier New" w:cs="Courier New" w:hint="default"/>
      </w:rPr>
    </w:lvl>
    <w:lvl w:ilvl="5" w:tplc="01C08C1A" w:tentative="1">
      <w:start w:val="1"/>
      <w:numFmt w:val="bullet"/>
      <w:lvlText w:val=""/>
      <w:lvlJc w:val="left"/>
      <w:pPr>
        <w:ind w:left="4320" w:hanging="360"/>
      </w:pPr>
      <w:rPr>
        <w:rFonts w:ascii="Wingdings" w:hAnsi="Wingdings" w:hint="default"/>
      </w:rPr>
    </w:lvl>
    <w:lvl w:ilvl="6" w:tplc="53729A1E" w:tentative="1">
      <w:start w:val="1"/>
      <w:numFmt w:val="bullet"/>
      <w:lvlText w:val=""/>
      <w:lvlJc w:val="left"/>
      <w:pPr>
        <w:ind w:left="5040" w:hanging="360"/>
      </w:pPr>
      <w:rPr>
        <w:rFonts w:ascii="Symbol" w:hAnsi="Symbol" w:hint="default"/>
      </w:rPr>
    </w:lvl>
    <w:lvl w:ilvl="7" w:tplc="F4621D84" w:tentative="1">
      <w:start w:val="1"/>
      <w:numFmt w:val="bullet"/>
      <w:lvlText w:val="o"/>
      <w:lvlJc w:val="left"/>
      <w:pPr>
        <w:ind w:left="5760" w:hanging="360"/>
      </w:pPr>
      <w:rPr>
        <w:rFonts w:ascii="Courier New" w:hAnsi="Courier New" w:cs="Courier New" w:hint="default"/>
      </w:rPr>
    </w:lvl>
    <w:lvl w:ilvl="8" w:tplc="B1904D20" w:tentative="1">
      <w:start w:val="1"/>
      <w:numFmt w:val="bullet"/>
      <w:lvlText w:val=""/>
      <w:lvlJc w:val="left"/>
      <w:pPr>
        <w:ind w:left="6480" w:hanging="360"/>
      </w:pPr>
      <w:rPr>
        <w:rFonts w:ascii="Wingdings" w:hAnsi="Wingdings" w:hint="default"/>
      </w:rPr>
    </w:lvl>
  </w:abstractNum>
  <w:abstractNum w:abstractNumId="11" w15:restartNumberingAfterBreak="0">
    <w:nsid w:val="35E603BF"/>
    <w:multiLevelType w:val="hybridMultilevel"/>
    <w:tmpl w:val="DDD6F9F4"/>
    <w:lvl w:ilvl="0" w:tplc="0416000D">
      <w:start w:val="1"/>
      <w:numFmt w:val="bullet"/>
      <w:lvlText w:val=""/>
      <w:lvlJc w:val="left"/>
      <w:pPr>
        <w:ind w:left="720" w:hanging="360"/>
      </w:pPr>
      <w:rPr>
        <w:rFonts w:ascii="Wingdings" w:hAnsi="Wingdings" w:hint="default"/>
      </w:rPr>
    </w:lvl>
    <w:lvl w:ilvl="1" w:tplc="B7C4922A" w:tentative="1">
      <w:start w:val="1"/>
      <w:numFmt w:val="bullet"/>
      <w:lvlText w:val="o"/>
      <w:lvlJc w:val="left"/>
      <w:pPr>
        <w:ind w:left="1440" w:hanging="360"/>
      </w:pPr>
      <w:rPr>
        <w:rFonts w:ascii="Courier New" w:hAnsi="Courier New" w:cs="Courier New" w:hint="default"/>
      </w:rPr>
    </w:lvl>
    <w:lvl w:ilvl="2" w:tplc="C9204842" w:tentative="1">
      <w:start w:val="1"/>
      <w:numFmt w:val="bullet"/>
      <w:lvlText w:val=""/>
      <w:lvlJc w:val="left"/>
      <w:pPr>
        <w:ind w:left="2160" w:hanging="360"/>
      </w:pPr>
      <w:rPr>
        <w:rFonts w:ascii="Wingdings" w:hAnsi="Wingdings" w:hint="default"/>
      </w:rPr>
    </w:lvl>
    <w:lvl w:ilvl="3" w:tplc="75744DAA" w:tentative="1">
      <w:start w:val="1"/>
      <w:numFmt w:val="bullet"/>
      <w:lvlText w:val=""/>
      <w:lvlJc w:val="left"/>
      <w:pPr>
        <w:ind w:left="2880" w:hanging="360"/>
      </w:pPr>
      <w:rPr>
        <w:rFonts w:ascii="Symbol" w:hAnsi="Symbol" w:hint="default"/>
      </w:rPr>
    </w:lvl>
    <w:lvl w:ilvl="4" w:tplc="0BB20EB6" w:tentative="1">
      <w:start w:val="1"/>
      <w:numFmt w:val="bullet"/>
      <w:lvlText w:val="o"/>
      <w:lvlJc w:val="left"/>
      <w:pPr>
        <w:ind w:left="3600" w:hanging="360"/>
      </w:pPr>
      <w:rPr>
        <w:rFonts w:ascii="Courier New" w:hAnsi="Courier New" w:cs="Courier New" w:hint="default"/>
      </w:rPr>
    </w:lvl>
    <w:lvl w:ilvl="5" w:tplc="CE702022" w:tentative="1">
      <w:start w:val="1"/>
      <w:numFmt w:val="bullet"/>
      <w:lvlText w:val=""/>
      <w:lvlJc w:val="left"/>
      <w:pPr>
        <w:ind w:left="4320" w:hanging="360"/>
      </w:pPr>
      <w:rPr>
        <w:rFonts w:ascii="Wingdings" w:hAnsi="Wingdings" w:hint="default"/>
      </w:rPr>
    </w:lvl>
    <w:lvl w:ilvl="6" w:tplc="10ACF094" w:tentative="1">
      <w:start w:val="1"/>
      <w:numFmt w:val="bullet"/>
      <w:lvlText w:val=""/>
      <w:lvlJc w:val="left"/>
      <w:pPr>
        <w:ind w:left="5040" w:hanging="360"/>
      </w:pPr>
      <w:rPr>
        <w:rFonts w:ascii="Symbol" w:hAnsi="Symbol" w:hint="default"/>
      </w:rPr>
    </w:lvl>
    <w:lvl w:ilvl="7" w:tplc="EF6E0CAA" w:tentative="1">
      <w:start w:val="1"/>
      <w:numFmt w:val="bullet"/>
      <w:lvlText w:val="o"/>
      <w:lvlJc w:val="left"/>
      <w:pPr>
        <w:ind w:left="5760" w:hanging="360"/>
      </w:pPr>
      <w:rPr>
        <w:rFonts w:ascii="Courier New" w:hAnsi="Courier New" w:cs="Courier New" w:hint="default"/>
      </w:rPr>
    </w:lvl>
    <w:lvl w:ilvl="8" w:tplc="50B8FC7C" w:tentative="1">
      <w:start w:val="1"/>
      <w:numFmt w:val="bullet"/>
      <w:lvlText w:val=""/>
      <w:lvlJc w:val="left"/>
      <w:pPr>
        <w:ind w:left="6480" w:hanging="360"/>
      </w:pPr>
      <w:rPr>
        <w:rFonts w:ascii="Wingdings" w:hAnsi="Wingdings" w:hint="default"/>
      </w:rPr>
    </w:lvl>
  </w:abstractNum>
  <w:abstractNum w:abstractNumId="12" w15:restartNumberingAfterBreak="0">
    <w:nsid w:val="387E71B9"/>
    <w:multiLevelType w:val="multilevel"/>
    <w:tmpl w:val="A314D844"/>
    <w:styleLink w:val="Estilo2"/>
    <w:lvl w:ilvl="0">
      <w:start w:val="1"/>
      <w:numFmt w:val="none"/>
      <w:lvlText w:val="XI.a."/>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3AF04AFD"/>
    <w:multiLevelType w:val="multilevel"/>
    <w:tmpl w:val="224AEFAA"/>
    <w:numStyleLink w:val="Estilo4"/>
  </w:abstractNum>
  <w:abstractNum w:abstractNumId="14" w15:restartNumberingAfterBreak="0">
    <w:nsid w:val="3CFE255A"/>
    <w:multiLevelType w:val="multilevel"/>
    <w:tmpl w:val="224AEFAA"/>
    <w:styleLink w:val="Estilo3"/>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57425BD"/>
    <w:multiLevelType w:val="hybridMultilevel"/>
    <w:tmpl w:val="0AF4B128"/>
    <w:lvl w:ilvl="0" w:tplc="AEA0A14E">
      <w:start w:val="1"/>
      <w:numFmt w:val="bullet"/>
      <w:lvlText w:val=""/>
      <w:lvlJc w:val="left"/>
      <w:pPr>
        <w:ind w:left="720" w:hanging="360"/>
      </w:pPr>
      <w:rPr>
        <w:rFonts w:ascii="Wingdings" w:hAnsi="Wingdings" w:hint="default"/>
      </w:rPr>
    </w:lvl>
    <w:lvl w:ilvl="1" w:tplc="988E2DD8" w:tentative="1">
      <w:start w:val="1"/>
      <w:numFmt w:val="bullet"/>
      <w:lvlText w:val="o"/>
      <w:lvlJc w:val="left"/>
      <w:pPr>
        <w:ind w:left="1440" w:hanging="360"/>
      </w:pPr>
      <w:rPr>
        <w:rFonts w:ascii="Courier New" w:hAnsi="Courier New" w:cs="Courier New" w:hint="default"/>
      </w:rPr>
    </w:lvl>
    <w:lvl w:ilvl="2" w:tplc="4350C3C6" w:tentative="1">
      <w:start w:val="1"/>
      <w:numFmt w:val="bullet"/>
      <w:lvlText w:val=""/>
      <w:lvlJc w:val="left"/>
      <w:pPr>
        <w:ind w:left="2160" w:hanging="360"/>
      </w:pPr>
      <w:rPr>
        <w:rFonts w:ascii="Wingdings" w:hAnsi="Wingdings" w:hint="default"/>
      </w:rPr>
    </w:lvl>
    <w:lvl w:ilvl="3" w:tplc="2D80142A" w:tentative="1">
      <w:start w:val="1"/>
      <w:numFmt w:val="bullet"/>
      <w:lvlText w:val=""/>
      <w:lvlJc w:val="left"/>
      <w:pPr>
        <w:ind w:left="2880" w:hanging="360"/>
      </w:pPr>
      <w:rPr>
        <w:rFonts w:ascii="Symbol" w:hAnsi="Symbol" w:hint="default"/>
      </w:rPr>
    </w:lvl>
    <w:lvl w:ilvl="4" w:tplc="DAA22094" w:tentative="1">
      <w:start w:val="1"/>
      <w:numFmt w:val="bullet"/>
      <w:lvlText w:val="o"/>
      <w:lvlJc w:val="left"/>
      <w:pPr>
        <w:ind w:left="3600" w:hanging="360"/>
      </w:pPr>
      <w:rPr>
        <w:rFonts w:ascii="Courier New" w:hAnsi="Courier New" w:cs="Courier New" w:hint="default"/>
      </w:rPr>
    </w:lvl>
    <w:lvl w:ilvl="5" w:tplc="376216B0" w:tentative="1">
      <w:start w:val="1"/>
      <w:numFmt w:val="bullet"/>
      <w:lvlText w:val=""/>
      <w:lvlJc w:val="left"/>
      <w:pPr>
        <w:ind w:left="4320" w:hanging="360"/>
      </w:pPr>
      <w:rPr>
        <w:rFonts w:ascii="Wingdings" w:hAnsi="Wingdings" w:hint="default"/>
      </w:rPr>
    </w:lvl>
    <w:lvl w:ilvl="6" w:tplc="A2400A5A" w:tentative="1">
      <w:start w:val="1"/>
      <w:numFmt w:val="bullet"/>
      <w:lvlText w:val=""/>
      <w:lvlJc w:val="left"/>
      <w:pPr>
        <w:ind w:left="5040" w:hanging="360"/>
      </w:pPr>
      <w:rPr>
        <w:rFonts w:ascii="Symbol" w:hAnsi="Symbol" w:hint="default"/>
      </w:rPr>
    </w:lvl>
    <w:lvl w:ilvl="7" w:tplc="7F0203DA" w:tentative="1">
      <w:start w:val="1"/>
      <w:numFmt w:val="bullet"/>
      <w:lvlText w:val="o"/>
      <w:lvlJc w:val="left"/>
      <w:pPr>
        <w:ind w:left="5760" w:hanging="360"/>
      </w:pPr>
      <w:rPr>
        <w:rFonts w:ascii="Courier New" w:hAnsi="Courier New" w:cs="Courier New" w:hint="default"/>
      </w:rPr>
    </w:lvl>
    <w:lvl w:ilvl="8" w:tplc="1A70A00E" w:tentative="1">
      <w:start w:val="1"/>
      <w:numFmt w:val="bullet"/>
      <w:lvlText w:val=""/>
      <w:lvlJc w:val="left"/>
      <w:pPr>
        <w:ind w:left="6480" w:hanging="360"/>
      </w:pPr>
      <w:rPr>
        <w:rFonts w:ascii="Wingdings" w:hAnsi="Wingdings" w:hint="default"/>
      </w:rPr>
    </w:lvl>
  </w:abstractNum>
  <w:abstractNum w:abstractNumId="16" w15:restartNumberingAfterBreak="0">
    <w:nsid w:val="487917C4"/>
    <w:multiLevelType w:val="multilevel"/>
    <w:tmpl w:val="224AEFAA"/>
    <w:styleLink w:val="Estilo4"/>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9690553"/>
    <w:multiLevelType w:val="hybridMultilevel"/>
    <w:tmpl w:val="F8EE51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D0C7F22"/>
    <w:multiLevelType w:val="hybridMultilevel"/>
    <w:tmpl w:val="154A2C10"/>
    <w:lvl w:ilvl="0" w:tplc="C0DE8B24">
      <w:start w:val="1"/>
      <w:numFmt w:val="bullet"/>
      <w:lvlText w:val=""/>
      <w:lvlJc w:val="left"/>
      <w:pPr>
        <w:ind w:left="1428" w:hanging="360"/>
      </w:pPr>
      <w:rPr>
        <w:rFonts w:ascii="Wingdings" w:hAnsi="Wingdings" w:hint="default"/>
        <w:color w:val="auto"/>
        <w:sz w:val="22"/>
      </w:rPr>
    </w:lvl>
    <w:lvl w:ilvl="1" w:tplc="8F0AFE70" w:tentative="1">
      <w:start w:val="1"/>
      <w:numFmt w:val="bullet"/>
      <w:lvlText w:val="o"/>
      <w:lvlJc w:val="left"/>
      <w:pPr>
        <w:ind w:left="2148" w:hanging="360"/>
      </w:pPr>
      <w:rPr>
        <w:rFonts w:ascii="Courier New" w:hAnsi="Courier New" w:cs="Courier New" w:hint="default"/>
      </w:rPr>
    </w:lvl>
    <w:lvl w:ilvl="2" w:tplc="9144681A" w:tentative="1">
      <w:start w:val="1"/>
      <w:numFmt w:val="bullet"/>
      <w:lvlText w:val=""/>
      <w:lvlJc w:val="left"/>
      <w:pPr>
        <w:ind w:left="2868" w:hanging="360"/>
      </w:pPr>
      <w:rPr>
        <w:rFonts w:ascii="Wingdings" w:hAnsi="Wingdings" w:hint="default"/>
      </w:rPr>
    </w:lvl>
    <w:lvl w:ilvl="3" w:tplc="05F84BF8" w:tentative="1">
      <w:start w:val="1"/>
      <w:numFmt w:val="bullet"/>
      <w:lvlText w:val=""/>
      <w:lvlJc w:val="left"/>
      <w:pPr>
        <w:ind w:left="3588" w:hanging="360"/>
      </w:pPr>
      <w:rPr>
        <w:rFonts w:ascii="Symbol" w:hAnsi="Symbol" w:hint="default"/>
      </w:rPr>
    </w:lvl>
    <w:lvl w:ilvl="4" w:tplc="E43EE084" w:tentative="1">
      <w:start w:val="1"/>
      <w:numFmt w:val="bullet"/>
      <w:lvlText w:val="o"/>
      <w:lvlJc w:val="left"/>
      <w:pPr>
        <w:ind w:left="4308" w:hanging="360"/>
      </w:pPr>
      <w:rPr>
        <w:rFonts w:ascii="Courier New" w:hAnsi="Courier New" w:cs="Courier New" w:hint="default"/>
      </w:rPr>
    </w:lvl>
    <w:lvl w:ilvl="5" w:tplc="D794E516" w:tentative="1">
      <w:start w:val="1"/>
      <w:numFmt w:val="bullet"/>
      <w:lvlText w:val=""/>
      <w:lvlJc w:val="left"/>
      <w:pPr>
        <w:ind w:left="5028" w:hanging="360"/>
      </w:pPr>
      <w:rPr>
        <w:rFonts w:ascii="Wingdings" w:hAnsi="Wingdings" w:hint="default"/>
      </w:rPr>
    </w:lvl>
    <w:lvl w:ilvl="6" w:tplc="22D4890A" w:tentative="1">
      <w:start w:val="1"/>
      <w:numFmt w:val="bullet"/>
      <w:lvlText w:val=""/>
      <w:lvlJc w:val="left"/>
      <w:pPr>
        <w:ind w:left="5748" w:hanging="360"/>
      </w:pPr>
      <w:rPr>
        <w:rFonts w:ascii="Symbol" w:hAnsi="Symbol" w:hint="default"/>
      </w:rPr>
    </w:lvl>
    <w:lvl w:ilvl="7" w:tplc="DB6658D4" w:tentative="1">
      <w:start w:val="1"/>
      <w:numFmt w:val="bullet"/>
      <w:lvlText w:val="o"/>
      <w:lvlJc w:val="left"/>
      <w:pPr>
        <w:ind w:left="6468" w:hanging="360"/>
      </w:pPr>
      <w:rPr>
        <w:rFonts w:ascii="Courier New" w:hAnsi="Courier New" w:cs="Courier New" w:hint="default"/>
      </w:rPr>
    </w:lvl>
    <w:lvl w:ilvl="8" w:tplc="583A077A" w:tentative="1">
      <w:start w:val="1"/>
      <w:numFmt w:val="bullet"/>
      <w:lvlText w:val=""/>
      <w:lvlJc w:val="left"/>
      <w:pPr>
        <w:ind w:left="7188" w:hanging="360"/>
      </w:pPr>
      <w:rPr>
        <w:rFonts w:ascii="Wingdings" w:hAnsi="Wingdings" w:hint="default"/>
      </w:rPr>
    </w:lvl>
  </w:abstractNum>
  <w:abstractNum w:abstractNumId="19"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3C15ED8"/>
    <w:multiLevelType w:val="hybridMultilevel"/>
    <w:tmpl w:val="A4B2D488"/>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
      <w:lvlJc w:val="left"/>
      <w:pPr>
        <w:tabs>
          <w:tab w:val="num" w:pos="1440"/>
        </w:tabs>
        <w:ind w:left="1440" w:hanging="360"/>
      </w:pPr>
      <w:rPr>
        <w:rFonts w:ascii="Times New Roman" w:hAnsi="Times New Roman" w:hint="default"/>
      </w:rPr>
    </w:lvl>
    <w:lvl w:ilvl="2" w:tplc="04160005" w:tentative="1">
      <w:start w:val="1"/>
      <w:numFmt w:val="bullet"/>
      <w:lvlText w:val="-"/>
      <w:lvlJc w:val="left"/>
      <w:pPr>
        <w:tabs>
          <w:tab w:val="num" w:pos="2160"/>
        </w:tabs>
        <w:ind w:left="2160" w:hanging="360"/>
      </w:pPr>
      <w:rPr>
        <w:rFonts w:ascii="Times New Roman" w:hAnsi="Times New Roman" w:hint="default"/>
      </w:rPr>
    </w:lvl>
    <w:lvl w:ilvl="3" w:tplc="04160001" w:tentative="1">
      <w:start w:val="1"/>
      <w:numFmt w:val="bullet"/>
      <w:lvlText w:val="-"/>
      <w:lvlJc w:val="left"/>
      <w:pPr>
        <w:tabs>
          <w:tab w:val="num" w:pos="2880"/>
        </w:tabs>
        <w:ind w:left="2880" w:hanging="360"/>
      </w:pPr>
      <w:rPr>
        <w:rFonts w:ascii="Times New Roman" w:hAnsi="Times New Roman" w:hint="default"/>
      </w:rPr>
    </w:lvl>
    <w:lvl w:ilvl="4" w:tplc="04160003" w:tentative="1">
      <w:start w:val="1"/>
      <w:numFmt w:val="bullet"/>
      <w:lvlText w:val="-"/>
      <w:lvlJc w:val="left"/>
      <w:pPr>
        <w:tabs>
          <w:tab w:val="num" w:pos="3600"/>
        </w:tabs>
        <w:ind w:left="3600" w:hanging="360"/>
      </w:pPr>
      <w:rPr>
        <w:rFonts w:ascii="Times New Roman" w:hAnsi="Times New Roman" w:hint="default"/>
      </w:rPr>
    </w:lvl>
    <w:lvl w:ilvl="5" w:tplc="04160005" w:tentative="1">
      <w:start w:val="1"/>
      <w:numFmt w:val="bullet"/>
      <w:lvlText w:val="-"/>
      <w:lvlJc w:val="left"/>
      <w:pPr>
        <w:tabs>
          <w:tab w:val="num" w:pos="4320"/>
        </w:tabs>
        <w:ind w:left="4320" w:hanging="360"/>
      </w:pPr>
      <w:rPr>
        <w:rFonts w:ascii="Times New Roman" w:hAnsi="Times New Roman" w:hint="default"/>
      </w:rPr>
    </w:lvl>
    <w:lvl w:ilvl="6" w:tplc="04160001" w:tentative="1">
      <w:start w:val="1"/>
      <w:numFmt w:val="bullet"/>
      <w:lvlText w:val="-"/>
      <w:lvlJc w:val="left"/>
      <w:pPr>
        <w:tabs>
          <w:tab w:val="num" w:pos="5040"/>
        </w:tabs>
        <w:ind w:left="5040" w:hanging="360"/>
      </w:pPr>
      <w:rPr>
        <w:rFonts w:ascii="Times New Roman" w:hAnsi="Times New Roman" w:hint="default"/>
      </w:rPr>
    </w:lvl>
    <w:lvl w:ilvl="7" w:tplc="04160003" w:tentative="1">
      <w:start w:val="1"/>
      <w:numFmt w:val="bullet"/>
      <w:lvlText w:val="-"/>
      <w:lvlJc w:val="left"/>
      <w:pPr>
        <w:tabs>
          <w:tab w:val="num" w:pos="5760"/>
        </w:tabs>
        <w:ind w:left="5760" w:hanging="360"/>
      </w:pPr>
      <w:rPr>
        <w:rFonts w:ascii="Times New Roman" w:hAnsi="Times New Roman" w:hint="default"/>
      </w:rPr>
    </w:lvl>
    <w:lvl w:ilvl="8" w:tplc="04160005"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1E97539"/>
    <w:multiLevelType w:val="multilevel"/>
    <w:tmpl w:val="0416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62CC67DE"/>
    <w:multiLevelType w:val="hybridMultilevel"/>
    <w:tmpl w:val="0638E0B0"/>
    <w:lvl w:ilvl="0" w:tplc="BA5E22B0">
      <w:start w:val="1"/>
      <w:numFmt w:val="bullet"/>
      <w:lvlText w:val=""/>
      <w:lvlJc w:val="left"/>
      <w:pPr>
        <w:ind w:left="720" w:hanging="360"/>
      </w:pPr>
      <w:rPr>
        <w:rFonts w:ascii="Wingdings" w:hAnsi="Wingdings" w:hint="default"/>
      </w:rPr>
    </w:lvl>
    <w:lvl w:ilvl="1" w:tplc="2442786C" w:tentative="1">
      <w:start w:val="1"/>
      <w:numFmt w:val="bullet"/>
      <w:lvlText w:val="o"/>
      <w:lvlJc w:val="left"/>
      <w:pPr>
        <w:ind w:left="1440" w:hanging="360"/>
      </w:pPr>
      <w:rPr>
        <w:rFonts w:ascii="Courier New" w:hAnsi="Courier New" w:cs="Courier New" w:hint="default"/>
      </w:rPr>
    </w:lvl>
    <w:lvl w:ilvl="2" w:tplc="5E346924" w:tentative="1">
      <w:start w:val="1"/>
      <w:numFmt w:val="bullet"/>
      <w:lvlText w:val=""/>
      <w:lvlJc w:val="left"/>
      <w:pPr>
        <w:ind w:left="2160" w:hanging="360"/>
      </w:pPr>
      <w:rPr>
        <w:rFonts w:ascii="Wingdings" w:hAnsi="Wingdings" w:hint="default"/>
      </w:rPr>
    </w:lvl>
    <w:lvl w:ilvl="3" w:tplc="172AFB54" w:tentative="1">
      <w:start w:val="1"/>
      <w:numFmt w:val="bullet"/>
      <w:lvlText w:val=""/>
      <w:lvlJc w:val="left"/>
      <w:pPr>
        <w:ind w:left="2880" w:hanging="360"/>
      </w:pPr>
      <w:rPr>
        <w:rFonts w:ascii="Symbol" w:hAnsi="Symbol" w:hint="default"/>
      </w:rPr>
    </w:lvl>
    <w:lvl w:ilvl="4" w:tplc="4CE2D1E6" w:tentative="1">
      <w:start w:val="1"/>
      <w:numFmt w:val="bullet"/>
      <w:lvlText w:val="o"/>
      <w:lvlJc w:val="left"/>
      <w:pPr>
        <w:ind w:left="3600" w:hanging="360"/>
      </w:pPr>
      <w:rPr>
        <w:rFonts w:ascii="Courier New" w:hAnsi="Courier New" w:cs="Courier New" w:hint="default"/>
      </w:rPr>
    </w:lvl>
    <w:lvl w:ilvl="5" w:tplc="F4F4D35C" w:tentative="1">
      <w:start w:val="1"/>
      <w:numFmt w:val="bullet"/>
      <w:lvlText w:val=""/>
      <w:lvlJc w:val="left"/>
      <w:pPr>
        <w:ind w:left="4320" w:hanging="360"/>
      </w:pPr>
      <w:rPr>
        <w:rFonts w:ascii="Wingdings" w:hAnsi="Wingdings" w:hint="default"/>
      </w:rPr>
    </w:lvl>
    <w:lvl w:ilvl="6" w:tplc="E63C1854" w:tentative="1">
      <w:start w:val="1"/>
      <w:numFmt w:val="bullet"/>
      <w:lvlText w:val=""/>
      <w:lvlJc w:val="left"/>
      <w:pPr>
        <w:ind w:left="5040" w:hanging="360"/>
      </w:pPr>
      <w:rPr>
        <w:rFonts w:ascii="Symbol" w:hAnsi="Symbol" w:hint="default"/>
      </w:rPr>
    </w:lvl>
    <w:lvl w:ilvl="7" w:tplc="A55AF582" w:tentative="1">
      <w:start w:val="1"/>
      <w:numFmt w:val="bullet"/>
      <w:lvlText w:val="o"/>
      <w:lvlJc w:val="left"/>
      <w:pPr>
        <w:ind w:left="5760" w:hanging="360"/>
      </w:pPr>
      <w:rPr>
        <w:rFonts w:ascii="Courier New" w:hAnsi="Courier New" w:cs="Courier New" w:hint="default"/>
      </w:rPr>
    </w:lvl>
    <w:lvl w:ilvl="8" w:tplc="4094E54A" w:tentative="1">
      <w:start w:val="1"/>
      <w:numFmt w:val="bullet"/>
      <w:lvlText w:val=""/>
      <w:lvlJc w:val="left"/>
      <w:pPr>
        <w:ind w:left="6480" w:hanging="360"/>
      </w:pPr>
      <w:rPr>
        <w:rFonts w:ascii="Wingdings" w:hAnsi="Wingdings" w:hint="default"/>
      </w:rPr>
    </w:lvl>
  </w:abstractNum>
  <w:abstractNum w:abstractNumId="23" w15:restartNumberingAfterBreak="0">
    <w:nsid w:val="6DDA1035"/>
    <w:multiLevelType w:val="multilevel"/>
    <w:tmpl w:val="A79A3E70"/>
    <w:lvl w:ilvl="0">
      <w:start w:val="1"/>
      <w:numFmt w:val="decimal"/>
      <w:lvlText w:val="%1 -"/>
      <w:lvlJc w:val="left"/>
      <w:pPr>
        <w:ind w:left="7023" w:hanging="360"/>
      </w:pPr>
      <w:rPr>
        <w:color w:val="0070C0"/>
        <w:sz w:val="32"/>
        <w:szCs w:val="32"/>
      </w:rPr>
    </w:lvl>
    <w:lvl w:ilvl="1">
      <w:start w:val="1"/>
      <w:numFmt w:val="decimal"/>
      <w:lvlText w:val="%1.%2."/>
      <w:lvlJc w:val="left"/>
      <w:pPr>
        <w:ind w:left="7455" w:hanging="432"/>
      </w:pPr>
    </w:lvl>
    <w:lvl w:ilvl="2">
      <w:start w:val="1"/>
      <w:numFmt w:val="decimal"/>
      <w:lvlText w:val="%1.%2.%3."/>
      <w:lvlJc w:val="left"/>
      <w:pPr>
        <w:ind w:left="7887" w:hanging="504"/>
      </w:pPr>
    </w:lvl>
    <w:lvl w:ilvl="3">
      <w:start w:val="1"/>
      <w:numFmt w:val="decimal"/>
      <w:lvlText w:val="%1.%2.%3.%4."/>
      <w:lvlJc w:val="left"/>
      <w:pPr>
        <w:ind w:left="8391" w:hanging="648"/>
      </w:pPr>
    </w:lvl>
    <w:lvl w:ilvl="4">
      <w:start w:val="1"/>
      <w:numFmt w:val="decimal"/>
      <w:lvlText w:val="%1.%2.%3.%4.%5."/>
      <w:lvlJc w:val="left"/>
      <w:pPr>
        <w:ind w:left="8895" w:hanging="792"/>
      </w:pPr>
    </w:lvl>
    <w:lvl w:ilvl="5">
      <w:start w:val="1"/>
      <w:numFmt w:val="decimal"/>
      <w:lvlText w:val="%1.%2.%3.%4.%5.%6."/>
      <w:lvlJc w:val="left"/>
      <w:pPr>
        <w:ind w:left="9399" w:hanging="936"/>
      </w:pPr>
    </w:lvl>
    <w:lvl w:ilvl="6">
      <w:start w:val="1"/>
      <w:numFmt w:val="decimal"/>
      <w:lvlText w:val="%1.%2.%3.%4.%5.%6.%7."/>
      <w:lvlJc w:val="left"/>
      <w:pPr>
        <w:ind w:left="9903" w:hanging="1080"/>
      </w:pPr>
    </w:lvl>
    <w:lvl w:ilvl="7">
      <w:start w:val="1"/>
      <w:numFmt w:val="decimal"/>
      <w:lvlText w:val="%1.%2.%3.%4.%5.%6.%7.%8."/>
      <w:lvlJc w:val="left"/>
      <w:pPr>
        <w:ind w:left="10407" w:hanging="1224"/>
      </w:pPr>
    </w:lvl>
    <w:lvl w:ilvl="8">
      <w:start w:val="1"/>
      <w:numFmt w:val="decimal"/>
      <w:lvlText w:val="%1.%2.%3.%4.%5.%6.%7.%8.%9."/>
      <w:lvlJc w:val="left"/>
      <w:pPr>
        <w:ind w:left="10983" w:hanging="144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20"/>
  </w:num>
  <w:num w:numId="5">
    <w:abstractNumId w:val="17"/>
  </w:num>
  <w:num w:numId="6">
    <w:abstractNumId w:val="22"/>
  </w:num>
  <w:num w:numId="7">
    <w:abstractNumId w:val="10"/>
  </w:num>
  <w:num w:numId="8">
    <w:abstractNumId w:val="3"/>
  </w:num>
  <w:num w:numId="9">
    <w:abstractNumId w:val="23"/>
  </w:num>
  <w:num w:numId="10">
    <w:abstractNumId w:val="7"/>
  </w:num>
  <w:num w:numId="11">
    <w:abstractNumId w:val="15"/>
  </w:num>
  <w:num w:numId="12">
    <w:abstractNumId w:val="5"/>
  </w:num>
  <w:num w:numId="13">
    <w:abstractNumId w:val="18"/>
  </w:num>
  <w:num w:numId="14">
    <w:abstractNumId w:val="19"/>
  </w:num>
  <w:num w:numId="15">
    <w:abstractNumId w:val="0"/>
  </w:num>
  <w:num w:numId="16">
    <w:abstractNumId w:val="2"/>
  </w:num>
  <w:num w:numId="17">
    <w:abstractNumId w:val="12"/>
  </w:num>
  <w:num w:numId="18">
    <w:abstractNumId w:val="14"/>
  </w:num>
  <w:num w:numId="19">
    <w:abstractNumId w:val="16"/>
  </w:num>
  <w:num w:numId="20">
    <w:abstractNumId w:val="13"/>
    <w:lvlOverride w:ilvl="1">
      <w:lvl w:ilvl="1">
        <w:start w:val="1"/>
        <w:numFmt w:val="lowerLetter"/>
        <w:lvlText w:val="%1.%2."/>
        <w:lvlJc w:val="left"/>
        <w:pPr>
          <w:ind w:left="792" w:hanging="432"/>
        </w:pPr>
        <w:rPr>
          <w:rFonts w:hint="default"/>
        </w:rPr>
      </w:lvl>
    </w:lvlOverride>
  </w:num>
  <w:num w:numId="21">
    <w:abstractNumId w:val="4"/>
  </w:num>
  <w:num w:numId="22">
    <w:abstractNumId w:val="8"/>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21"/>
  </w:num>
  <w:num w:numId="32">
    <w:abstractNumId w:val="21"/>
  </w:num>
  <w:num w:numId="33">
    <w:abstractNumId w:val="21"/>
  </w:num>
  <w:num w:numId="34">
    <w:abstractNumId w:val="21"/>
  </w:num>
  <w:num w:numId="35">
    <w:abstractNumId w:val="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C69"/>
    <w:rsid w:val="000518CB"/>
    <w:rsid w:val="00077A7B"/>
    <w:rsid w:val="00162480"/>
    <w:rsid w:val="00164D26"/>
    <w:rsid w:val="001C1B76"/>
    <w:rsid w:val="001F59D2"/>
    <w:rsid w:val="002102FA"/>
    <w:rsid w:val="00231239"/>
    <w:rsid w:val="00250A76"/>
    <w:rsid w:val="002A6149"/>
    <w:rsid w:val="002B51EA"/>
    <w:rsid w:val="003473E0"/>
    <w:rsid w:val="003B5864"/>
    <w:rsid w:val="003F423F"/>
    <w:rsid w:val="004156D1"/>
    <w:rsid w:val="004938AD"/>
    <w:rsid w:val="004D1E72"/>
    <w:rsid w:val="004D7073"/>
    <w:rsid w:val="00512B2D"/>
    <w:rsid w:val="00512F7B"/>
    <w:rsid w:val="005C464B"/>
    <w:rsid w:val="00604E39"/>
    <w:rsid w:val="006A22BD"/>
    <w:rsid w:val="006A2ECB"/>
    <w:rsid w:val="006B2EBE"/>
    <w:rsid w:val="006B52DF"/>
    <w:rsid w:val="006C444B"/>
    <w:rsid w:val="00716B6B"/>
    <w:rsid w:val="008176CA"/>
    <w:rsid w:val="008324FC"/>
    <w:rsid w:val="008B2B79"/>
    <w:rsid w:val="008F2A8A"/>
    <w:rsid w:val="009443B6"/>
    <w:rsid w:val="00974C69"/>
    <w:rsid w:val="00AB638D"/>
    <w:rsid w:val="00AC7FDA"/>
    <w:rsid w:val="00C37072"/>
    <w:rsid w:val="00C555DB"/>
    <w:rsid w:val="00C65DA0"/>
    <w:rsid w:val="00CB753E"/>
    <w:rsid w:val="00D512CF"/>
    <w:rsid w:val="00E249DA"/>
    <w:rsid w:val="00EF0FE4"/>
    <w:rsid w:val="00F53B2F"/>
    <w:rsid w:val="00FC1C7F"/>
    <w:rsid w:val="00FF47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CB5E68"/>
  <w15:chartTrackingRefBased/>
  <w15:docId w15:val="{9F5B07D1-42F3-4832-9ECC-3CD15E32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C69"/>
    <w:pPr>
      <w:spacing w:after="200" w:line="276" w:lineRule="auto"/>
    </w:pPr>
  </w:style>
  <w:style w:type="paragraph" w:styleId="Ttulo1">
    <w:name w:val="heading 1"/>
    <w:basedOn w:val="Normal"/>
    <w:link w:val="Ttulo1Char"/>
    <w:uiPriority w:val="9"/>
    <w:qFormat/>
    <w:rsid w:val="002102FA"/>
    <w:pPr>
      <w:numPr>
        <w:numId w:val="23"/>
      </w:numPr>
      <w:spacing w:before="240" w:after="240" w:line="240" w:lineRule="auto"/>
      <w:outlineLvl w:val="0"/>
    </w:pPr>
    <w:rPr>
      <w:rFonts w:ascii="Calibri Light" w:eastAsia="Times New Roman" w:hAnsi="Calibri Light" w:cs="Times New Roman"/>
      <w:b/>
      <w:bCs/>
      <w:color w:val="0070C0"/>
      <w:kern w:val="36"/>
      <w:sz w:val="32"/>
      <w:szCs w:val="48"/>
      <w:lang w:eastAsia="pt-BR"/>
    </w:rPr>
  </w:style>
  <w:style w:type="paragraph" w:styleId="Ttulo2">
    <w:name w:val="heading 2"/>
    <w:basedOn w:val="Normal"/>
    <w:next w:val="Normal"/>
    <w:link w:val="Ttulo2Char"/>
    <w:uiPriority w:val="9"/>
    <w:unhideWhenUsed/>
    <w:qFormat/>
    <w:rsid w:val="00512B2D"/>
    <w:pPr>
      <w:keepNext/>
      <w:keepLines/>
      <w:numPr>
        <w:ilvl w:val="1"/>
        <w:numId w:val="23"/>
      </w:numPr>
      <w:spacing w:before="40" w:after="0"/>
      <w:outlineLvl w:val="1"/>
    </w:pPr>
    <w:rPr>
      <w:rFonts w:asciiTheme="majorHAnsi" w:eastAsiaTheme="majorEastAsia" w:hAnsiTheme="majorHAnsi" w:cstheme="majorBidi"/>
      <w:b/>
      <w:color w:val="2E74B5" w:themeColor="accent1" w:themeShade="BF"/>
      <w:sz w:val="28"/>
      <w:szCs w:val="26"/>
    </w:rPr>
  </w:style>
  <w:style w:type="paragraph" w:styleId="Ttulo3">
    <w:name w:val="heading 3"/>
    <w:basedOn w:val="Normal"/>
    <w:next w:val="Normal"/>
    <w:link w:val="Ttulo3Char"/>
    <w:uiPriority w:val="1"/>
    <w:unhideWhenUsed/>
    <w:qFormat/>
    <w:rsid w:val="00974C69"/>
    <w:pPr>
      <w:keepNext/>
      <w:keepLines/>
      <w:numPr>
        <w:ilvl w:val="2"/>
        <w:numId w:val="2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rsid w:val="00974C69"/>
    <w:pPr>
      <w:keepNext/>
      <w:keepLines/>
      <w:numPr>
        <w:ilvl w:val="3"/>
        <w:numId w:val="23"/>
      </w:numPr>
      <w:spacing w:before="40" w:after="0" w:line="259"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974C69"/>
    <w:pPr>
      <w:keepNext/>
      <w:keepLines/>
      <w:numPr>
        <w:ilvl w:val="4"/>
        <w:numId w:val="23"/>
      </w:numPr>
      <w:spacing w:before="40" w:after="0" w:line="259" w:lineRule="auto"/>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974C69"/>
    <w:pPr>
      <w:keepNext/>
      <w:keepLines/>
      <w:numPr>
        <w:ilvl w:val="5"/>
        <w:numId w:val="23"/>
      </w:numPr>
      <w:spacing w:before="40" w:after="0" w:line="259" w:lineRule="auto"/>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974C69"/>
    <w:pPr>
      <w:keepNext/>
      <w:keepLines/>
      <w:numPr>
        <w:ilvl w:val="6"/>
        <w:numId w:val="23"/>
      </w:numPr>
      <w:spacing w:before="40" w:after="0" w:line="259" w:lineRule="auto"/>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974C69"/>
    <w:pPr>
      <w:keepNext/>
      <w:keepLines/>
      <w:numPr>
        <w:ilvl w:val="7"/>
        <w:numId w:val="23"/>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74C69"/>
    <w:pPr>
      <w:keepNext/>
      <w:keepLines/>
      <w:numPr>
        <w:ilvl w:val="8"/>
        <w:numId w:val="23"/>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102FA"/>
    <w:rPr>
      <w:rFonts w:ascii="Calibri Light" w:eastAsia="Times New Roman" w:hAnsi="Calibri Light" w:cs="Times New Roman"/>
      <w:b/>
      <w:bCs/>
      <w:color w:val="0070C0"/>
      <w:kern w:val="36"/>
      <w:sz w:val="32"/>
      <w:szCs w:val="48"/>
      <w:lang w:eastAsia="pt-BR"/>
    </w:rPr>
  </w:style>
  <w:style w:type="character" w:styleId="Hyperlink">
    <w:name w:val="Hyperlink"/>
    <w:basedOn w:val="Fontepargpadro"/>
    <w:uiPriority w:val="99"/>
    <w:unhideWhenUsed/>
    <w:rsid w:val="00974C69"/>
    <w:rPr>
      <w:color w:val="0563C1" w:themeColor="hyperlink"/>
      <w:u w:val="single"/>
    </w:rPr>
  </w:style>
  <w:style w:type="paragraph" w:styleId="PargrafodaLista">
    <w:name w:val="List Paragraph"/>
    <w:basedOn w:val="Normal"/>
    <w:uiPriority w:val="1"/>
    <w:qFormat/>
    <w:rsid w:val="00974C69"/>
    <w:pPr>
      <w:ind w:left="720"/>
      <w:contextualSpacing/>
    </w:pPr>
  </w:style>
  <w:style w:type="table" w:styleId="Tabelacomgrade">
    <w:name w:val="Table Grid"/>
    <w:basedOn w:val="Tabelanormal"/>
    <w:uiPriority w:val="39"/>
    <w:rsid w:val="00974C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512B2D"/>
    <w:rPr>
      <w:rFonts w:asciiTheme="majorHAnsi" w:eastAsiaTheme="majorEastAsia" w:hAnsiTheme="majorHAnsi" w:cstheme="majorBidi"/>
      <w:b/>
      <w:color w:val="2E74B5" w:themeColor="accent1" w:themeShade="BF"/>
      <w:sz w:val="28"/>
      <w:szCs w:val="26"/>
    </w:rPr>
  </w:style>
  <w:style w:type="character" w:customStyle="1" w:styleId="Ttulo3Char">
    <w:name w:val="Título 3 Char"/>
    <w:basedOn w:val="Fontepargpadro"/>
    <w:link w:val="Ttulo3"/>
    <w:uiPriority w:val="1"/>
    <w:rsid w:val="00974C69"/>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974C69"/>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974C69"/>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974C69"/>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974C69"/>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974C69"/>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74C69"/>
    <w:rPr>
      <w:rFonts w:asciiTheme="majorHAnsi" w:eastAsiaTheme="majorEastAsia" w:hAnsiTheme="majorHAnsi" w:cstheme="majorBidi"/>
      <w:i/>
      <w:iCs/>
      <w:color w:val="272727" w:themeColor="text1" w:themeTint="D8"/>
      <w:sz w:val="21"/>
      <w:szCs w:val="21"/>
    </w:rPr>
  </w:style>
  <w:style w:type="paragraph" w:styleId="Corpodetexto">
    <w:name w:val="Body Text"/>
    <w:basedOn w:val="Normal"/>
    <w:link w:val="CorpodetextoChar"/>
    <w:autoRedefine/>
    <w:uiPriority w:val="1"/>
    <w:rsid w:val="00974C69"/>
    <w:pPr>
      <w:widowControl w:val="0"/>
      <w:tabs>
        <w:tab w:val="left" w:pos="222"/>
      </w:tabs>
      <w:spacing w:before="120"/>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974C69"/>
    <w:rPr>
      <w:rFonts w:asciiTheme="majorHAnsi" w:eastAsia="Verdana" w:hAnsiTheme="majorHAnsi" w:cs="Verdana"/>
      <w:sz w:val="24"/>
      <w:szCs w:val="24"/>
      <w:lang w:val="en-US"/>
    </w:rPr>
  </w:style>
  <w:style w:type="table" w:customStyle="1" w:styleId="TableNormal">
    <w:name w:val="Table Normal"/>
    <w:uiPriority w:val="2"/>
    <w:semiHidden/>
    <w:unhideWhenUsed/>
    <w:qFormat/>
    <w:rsid w:val="00974C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974C69"/>
    <w:pPr>
      <w:widowControl w:val="0"/>
      <w:spacing w:before="24" w:after="0" w:line="240" w:lineRule="auto"/>
    </w:pPr>
    <w:rPr>
      <w:rFonts w:ascii="Franklin Gothic Medium" w:eastAsia="Franklin Gothic Medium" w:hAnsi="Franklin Gothic Medium" w:cs="Franklin Gothic Medium"/>
      <w:lang w:val="en-US"/>
    </w:rPr>
  </w:style>
  <w:style w:type="paragraph" w:styleId="Textodebalo">
    <w:name w:val="Balloon Text"/>
    <w:basedOn w:val="Normal"/>
    <w:link w:val="TextodebaloChar"/>
    <w:uiPriority w:val="99"/>
    <w:semiHidden/>
    <w:unhideWhenUsed/>
    <w:rsid w:val="00974C6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74C69"/>
    <w:rPr>
      <w:rFonts w:ascii="Segoe UI" w:hAnsi="Segoe UI" w:cs="Segoe UI"/>
      <w:sz w:val="18"/>
      <w:szCs w:val="18"/>
    </w:rPr>
  </w:style>
  <w:style w:type="paragraph" w:styleId="Cabealho">
    <w:name w:val="header"/>
    <w:basedOn w:val="Normal"/>
    <w:link w:val="CabealhoChar"/>
    <w:uiPriority w:val="99"/>
    <w:unhideWhenUsed/>
    <w:rsid w:val="00974C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4C69"/>
  </w:style>
  <w:style w:type="paragraph" w:styleId="Rodap">
    <w:name w:val="footer"/>
    <w:basedOn w:val="Normal"/>
    <w:link w:val="RodapChar"/>
    <w:uiPriority w:val="99"/>
    <w:unhideWhenUsed/>
    <w:rsid w:val="00974C69"/>
    <w:pPr>
      <w:tabs>
        <w:tab w:val="center" w:pos="4252"/>
        <w:tab w:val="right" w:pos="8504"/>
      </w:tabs>
      <w:spacing w:after="0" w:line="240" w:lineRule="auto"/>
    </w:pPr>
  </w:style>
  <w:style w:type="character" w:customStyle="1" w:styleId="RodapChar">
    <w:name w:val="Rodapé Char"/>
    <w:basedOn w:val="Fontepargpadro"/>
    <w:link w:val="Rodap"/>
    <w:uiPriority w:val="99"/>
    <w:rsid w:val="00974C69"/>
  </w:style>
  <w:style w:type="paragraph" w:styleId="CabealhodoSumrio">
    <w:name w:val="TOC Heading"/>
    <w:basedOn w:val="Ttulo1"/>
    <w:next w:val="Normal"/>
    <w:uiPriority w:val="39"/>
    <w:unhideWhenUsed/>
    <w:qFormat/>
    <w:rsid w:val="00974C69"/>
    <w:pPr>
      <w:keepNext/>
      <w:keepLines/>
      <w:spacing w:before="360" w:after="120" w:line="259" w:lineRule="auto"/>
      <w:outlineLvl w:val="9"/>
    </w:pPr>
    <w:rPr>
      <w:rFonts w:asciiTheme="majorHAnsi" w:eastAsiaTheme="majorEastAsia" w:hAnsiTheme="majorHAnsi" w:cstheme="majorBidi"/>
      <w:bCs w:val="0"/>
      <w:kern w:val="0"/>
      <w:szCs w:val="32"/>
    </w:rPr>
  </w:style>
  <w:style w:type="paragraph" w:styleId="Sumrio2">
    <w:name w:val="toc 2"/>
    <w:basedOn w:val="Normal"/>
    <w:next w:val="Normal"/>
    <w:autoRedefine/>
    <w:uiPriority w:val="39"/>
    <w:unhideWhenUsed/>
    <w:rsid w:val="00974C69"/>
    <w:pPr>
      <w:tabs>
        <w:tab w:val="left" w:pos="880"/>
        <w:tab w:val="right" w:leader="dot" w:pos="8789"/>
      </w:tabs>
      <w:spacing w:before="120" w:after="0" w:line="259" w:lineRule="auto"/>
      <w:ind w:left="220"/>
    </w:pPr>
    <w:rPr>
      <w:i/>
      <w:iCs/>
      <w:sz w:val="20"/>
      <w:szCs w:val="20"/>
    </w:rPr>
  </w:style>
  <w:style w:type="paragraph" w:styleId="Sumrio1">
    <w:name w:val="toc 1"/>
    <w:basedOn w:val="Normal"/>
    <w:next w:val="Normal"/>
    <w:autoRedefine/>
    <w:uiPriority w:val="39"/>
    <w:unhideWhenUsed/>
    <w:rsid w:val="00974C69"/>
    <w:pPr>
      <w:tabs>
        <w:tab w:val="right" w:leader="dot" w:pos="8777"/>
      </w:tabs>
      <w:spacing w:before="240" w:after="120" w:line="259" w:lineRule="auto"/>
    </w:pPr>
    <w:rPr>
      <w:b/>
      <w:bCs/>
      <w:sz w:val="20"/>
      <w:szCs w:val="20"/>
    </w:rPr>
  </w:style>
  <w:style w:type="paragraph" w:styleId="Sumrio3">
    <w:name w:val="toc 3"/>
    <w:basedOn w:val="Normal"/>
    <w:next w:val="Normal"/>
    <w:autoRedefine/>
    <w:uiPriority w:val="39"/>
    <w:unhideWhenUsed/>
    <w:rsid w:val="00974C69"/>
    <w:pPr>
      <w:spacing w:after="0" w:line="259" w:lineRule="auto"/>
      <w:ind w:left="440"/>
    </w:pPr>
    <w:rPr>
      <w:sz w:val="20"/>
      <w:szCs w:val="20"/>
    </w:rPr>
  </w:style>
  <w:style w:type="paragraph" w:styleId="Ttulo">
    <w:name w:val="Title"/>
    <w:basedOn w:val="Normal"/>
    <w:next w:val="Normal"/>
    <w:link w:val="TtuloChar"/>
    <w:autoRedefine/>
    <w:uiPriority w:val="10"/>
    <w:rsid w:val="00974C69"/>
    <w:pPr>
      <w:numPr>
        <w:ilvl w:val="1"/>
        <w:numId w:val="8"/>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974C69"/>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974C69"/>
    <w:pPr>
      <w:spacing w:after="0" w:line="259" w:lineRule="auto"/>
      <w:ind w:left="660"/>
    </w:pPr>
    <w:rPr>
      <w:sz w:val="20"/>
      <w:szCs w:val="20"/>
    </w:rPr>
  </w:style>
  <w:style w:type="paragraph" w:styleId="Sumrio5">
    <w:name w:val="toc 5"/>
    <w:basedOn w:val="Normal"/>
    <w:next w:val="Normal"/>
    <w:autoRedefine/>
    <w:uiPriority w:val="39"/>
    <w:unhideWhenUsed/>
    <w:rsid w:val="00974C69"/>
    <w:pPr>
      <w:spacing w:after="0" w:line="259" w:lineRule="auto"/>
      <w:ind w:left="880"/>
    </w:pPr>
    <w:rPr>
      <w:sz w:val="20"/>
      <w:szCs w:val="20"/>
    </w:rPr>
  </w:style>
  <w:style w:type="paragraph" w:styleId="Sumrio6">
    <w:name w:val="toc 6"/>
    <w:basedOn w:val="Normal"/>
    <w:next w:val="Normal"/>
    <w:autoRedefine/>
    <w:uiPriority w:val="39"/>
    <w:unhideWhenUsed/>
    <w:rsid w:val="00974C69"/>
    <w:pPr>
      <w:spacing w:after="0" w:line="259" w:lineRule="auto"/>
      <w:ind w:left="1100"/>
    </w:pPr>
    <w:rPr>
      <w:sz w:val="20"/>
      <w:szCs w:val="20"/>
    </w:rPr>
  </w:style>
  <w:style w:type="paragraph" w:styleId="Sumrio7">
    <w:name w:val="toc 7"/>
    <w:basedOn w:val="Normal"/>
    <w:next w:val="Normal"/>
    <w:autoRedefine/>
    <w:uiPriority w:val="39"/>
    <w:unhideWhenUsed/>
    <w:rsid w:val="00974C69"/>
    <w:pPr>
      <w:spacing w:after="0" w:line="259" w:lineRule="auto"/>
      <w:ind w:left="1320"/>
    </w:pPr>
    <w:rPr>
      <w:sz w:val="20"/>
      <w:szCs w:val="20"/>
    </w:rPr>
  </w:style>
  <w:style w:type="paragraph" w:styleId="Sumrio8">
    <w:name w:val="toc 8"/>
    <w:basedOn w:val="Normal"/>
    <w:next w:val="Normal"/>
    <w:autoRedefine/>
    <w:uiPriority w:val="39"/>
    <w:unhideWhenUsed/>
    <w:rsid w:val="00974C69"/>
    <w:pPr>
      <w:spacing w:after="0" w:line="259" w:lineRule="auto"/>
      <w:ind w:left="1540"/>
    </w:pPr>
    <w:rPr>
      <w:sz w:val="20"/>
      <w:szCs w:val="20"/>
    </w:rPr>
  </w:style>
  <w:style w:type="paragraph" w:styleId="Sumrio9">
    <w:name w:val="toc 9"/>
    <w:basedOn w:val="Normal"/>
    <w:next w:val="Normal"/>
    <w:autoRedefine/>
    <w:uiPriority w:val="39"/>
    <w:unhideWhenUsed/>
    <w:rsid w:val="00974C69"/>
    <w:pPr>
      <w:spacing w:after="0" w:line="259" w:lineRule="auto"/>
      <w:ind w:left="1760"/>
    </w:pPr>
    <w:rPr>
      <w:sz w:val="20"/>
      <w:szCs w:val="20"/>
    </w:rPr>
  </w:style>
  <w:style w:type="paragraph" w:styleId="Reviso">
    <w:name w:val="Revision"/>
    <w:hidden/>
    <w:uiPriority w:val="99"/>
    <w:semiHidden/>
    <w:rsid w:val="00974C69"/>
    <w:pPr>
      <w:spacing w:after="0" w:line="240" w:lineRule="auto"/>
    </w:pPr>
  </w:style>
  <w:style w:type="paragraph" w:styleId="Subttulo">
    <w:name w:val="Subtitle"/>
    <w:basedOn w:val="Normal"/>
    <w:next w:val="Normal"/>
    <w:link w:val="SubttuloChar"/>
    <w:uiPriority w:val="11"/>
    <w:qFormat/>
    <w:rsid w:val="00974C69"/>
    <w:pPr>
      <w:numPr>
        <w:ilvl w:val="1"/>
      </w:numPr>
      <w:spacing w:before="120" w:after="280" w:line="259" w:lineRule="auto"/>
      <w:jc w:val="both"/>
    </w:pPr>
    <w:rPr>
      <w:rFonts w:eastAsiaTheme="minorEastAsia"/>
      <w:color w:val="920000"/>
      <w:spacing w:val="15"/>
      <w:sz w:val="28"/>
    </w:rPr>
  </w:style>
  <w:style w:type="character" w:customStyle="1" w:styleId="SubttuloChar">
    <w:name w:val="Subtítulo Char"/>
    <w:basedOn w:val="Fontepargpadro"/>
    <w:link w:val="Subttulo"/>
    <w:uiPriority w:val="11"/>
    <w:rsid w:val="00974C69"/>
    <w:rPr>
      <w:rFonts w:eastAsiaTheme="minorEastAsia"/>
      <w:color w:val="920000"/>
      <w:spacing w:val="15"/>
      <w:sz w:val="28"/>
    </w:rPr>
  </w:style>
  <w:style w:type="character" w:styleId="Refdecomentrio">
    <w:name w:val="annotation reference"/>
    <w:basedOn w:val="Fontepargpadro"/>
    <w:uiPriority w:val="99"/>
    <w:semiHidden/>
    <w:unhideWhenUsed/>
    <w:rsid w:val="00974C69"/>
    <w:rPr>
      <w:sz w:val="16"/>
      <w:szCs w:val="16"/>
    </w:rPr>
  </w:style>
  <w:style w:type="paragraph" w:styleId="Textodecomentrio">
    <w:name w:val="annotation text"/>
    <w:basedOn w:val="Normal"/>
    <w:link w:val="TextodecomentrioChar"/>
    <w:uiPriority w:val="99"/>
    <w:unhideWhenUsed/>
    <w:rsid w:val="00974C69"/>
    <w:pPr>
      <w:spacing w:after="160" w:line="240" w:lineRule="auto"/>
    </w:pPr>
    <w:rPr>
      <w:sz w:val="20"/>
      <w:szCs w:val="20"/>
    </w:rPr>
  </w:style>
  <w:style w:type="character" w:customStyle="1" w:styleId="TextodecomentrioChar">
    <w:name w:val="Texto de comentário Char"/>
    <w:basedOn w:val="Fontepargpadro"/>
    <w:link w:val="Textodecomentrio"/>
    <w:uiPriority w:val="99"/>
    <w:rsid w:val="00974C69"/>
    <w:rPr>
      <w:sz w:val="20"/>
      <w:szCs w:val="20"/>
    </w:rPr>
  </w:style>
  <w:style w:type="paragraph" w:styleId="Assuntodocomentrio">
    <w:name w:val="annotation subject"/>
    <w:basedOn w:val="Textodecomentrio"/>
    <w:next w:val="Textodecomentrio"/>
    <w:link w:val="AssuntodocomentrioChar"/>
    <w:uiPriority w:val="99"/>
    <w:semiHidden/>
    <w:unhideWhenUsed/>
    <w:rsid w:val="00974C69"/>
    <w:rPr>
      <w:b/>
      <w:bCs/>
    </w:rPr>
  </w:style>
  <w:style w:type="character" w:customStyle="1" w:styleId="AssuntodocomentrioChar">
    <w:name w:val="Assunto do comentário Char"/>
    <w:basedOn w:val="TextodecomentrioChar"/>
    <w:link w:val="Assuntodocomentrio"/>
    <w:uiPriority w:val="99"/>
    <w:semiHidden/>
    <w:rsid w:val="00974C69"/>
    <w:rPr>
      <w:b/>
      <w:bCs/>
      <w:sz w:val="20"/>
      <w:szCs w:val="20"/>
    </w:rPr>
  </w:style>
  <w:style w:type="character" w:customStyle="1" w:styleId="apple-converted-space">
    <w:name w:val="apple-converted-space"/>
    <w:basedOn w:val="Fontepargpadro"/>
    <w:rsid w:val="00974C69"/>
  </w:style>
  <w:style w:type="paragraph" w:styleId="NormalWeb">
    <w:name w:val="Normal (Web)"/>
    <w:basedOn w:val="Normal"/>
    <w:uiPriority w:val="99"/>
    <w:semiHidden/>
    <w:unhideWhenUsed/>
    <w:rsid w:val="00974C6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974C69"/>
    <w:rPr>
      <w:i/>
      <w:iCs/>
      <w:color w:val="404040" w:themeColor="text1" w:themeTint="BF"/>
    </w:rPr>
  </w:style>
  <w:style w:type="character" w:customStyle="1" w:styleId="il">
    <w:name w:val="il"/>
    <w:basedOn w:val="Fontepargpadro"/>
    <w:rsid w:val="00974C69"/>
  </w:style>
  <w:style w:type="numbering" w:customStyle="1" w:styleId="Estilo1">
    <w:name w:val="Estilo1"/>
    <w:uiPriority w:val="99"/>
    <w:rsid w:val="00974C69"/>
    <w:pPr>
      <w:numPr>
        <w:numId w:val="12"/>
      </w:numPr>
    </w:pPr>
  </w:style>
  <w:style w:type="character" w:styleId="HiperlinkVisitado">
    <w:name w:val="FollowedHyperlink"/>
    <w:basedOn w:val="Fontepargpadro"/>
    <w:uiPriority w:val="99"/>
    <w:semiHidden/>
    <w:unhideWhenUsed/>
    <w:rsid w:val="00974C69"/>
    <w:rPr>
      <w:color w:val="954F72" w:themeColor="followedHyperlink"/>
      <w:u w:val="single"/>
    </w:rPr>
  </w:style>
  <w:style w:type="paragraph" w:customStyle="1" w:styleId="Pa18">
    <w:name w:val="Pa18"/>
    <w:basedOn w:val="Normal"/>
    <w:next w:val="Normal"/>
    <w:uiPriority w:val="99"/>
    <w:rsid w:val="00974C69"/>
    <w:pPr>
      <w:autoSpaceDE w:val="0"/>
      <w:autoSpaceDN w:val="0"/>
      <w:adjustRightInd w:val="0"/>
      <w:spacing w:after="0" w:line="221" w:lineRule="atLeast"/>
    </w:pPr>
    <w:rPr>
      <w:rFonts w:ascii="Arial" w:hAnsi="Arial" w:cs="Arial"/>
      <w:sz w:val="24"/>
      <w:szCs w:val="24"/>
    </w:rPr>
  </w:style>
  <w:style w:type="paragraph" w:customStyle="1" w:styleId="Default">
    <w:name w:val="Default"/>
    <w:rsid w:val="00974C69"/>
    <w:pPr>
      <w:autoSpaceDE w:val="0"/>
      <w:autoSpaceDN w:val="0"/>
      <w:adjustRightInd w:val="0"/>
      <w:spacing w:after="0" w:line="240" w:lineRule="auto"/>
    </w:pPr>
    <w:rPr>
      <w:rFonts w:ascii="Arial" w:hAnsi="Arial" w:cs="Arial"/>
      <w:color w:val="000000"/>
      <w:sz w:val="24"/>
      <w:szCs w:val="24"/>
    </w:rPr>
  </w:style>
  <w:style w:type="numbering" w:customStyle="1" w:styleId="Estilo2">
    <w:name w:val="Estilo2"/>
    <w:uiPriority w:val="99"/>
    <w:rsid w:val="00974C69"/>
    <w:pPr>
      <w:numPr>
        <w:numId w:val="17"/>
      </w:numPr>
    </w:pPr>
  </w:style>
  <w:style w:type="numbering" w:customStyle="1" w:styleId="Estilo3">
    <w:name w:val="Estilo3"/>
    <w:uiPriority w:val="99"/>
    <w:rsid w:val="00974C69"/>
    <w:pPr>
      <w:numPr>
        <w:numId w:val="18"/>
      </w:numPr>
    </w:pPr>
  </w:style>
  <w:style w:type="numbering" w:customStyle="1" w:styleId="Estilo4">
    <w:name w:val="Estilo4"/>
    <w:uiPriority w:val="99"/>
    <w:rsid w:val="00974C6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bntcatalogo.com.br/norma.aspx?ID=1479" TargetMode="External"/><Relationship Id="rId26" Type="http://schemas.openxmlformats.org/officeDocument/2006/relationships/hyperlink" Target="https://www.abntcatalogo.com.br/norma.aspx?ID=1582"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hyperlink" Target="http://www.inmetro.gov.br/inovacao/publicacoes/vim_2012.pdf" TargetMode="External"/><Relationship Id="rId47" Type="http://schemas.openxmlformats.org/officeDocument/2006/relationships/image" Target="media/image21.png"/><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www.inmetro.gov.br/credenciamento/sobre_org_insp.asp" TargetMode="External"/><Relationship Id="rId32" Type="http://schemas.openxmlformats.org/officeDocument/2006/relationships/hyperlink" Target="file:///C:\Users\aline\Downloads\NIT-Dicla-16_07.pdf"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s://www.abntcatalogo.com.br/norma.aspx?ID=345040" TargetMode="External"/><Relationship Id="rId23" Type="http://schemas.openxmlformats.org/officeDocument/2006/relationships/hyperlink" Target="http://www.inmetro.gov.br/credenciamento/sobre_org_cert.asp" TargetMode="External"/><Relationship Id="rId28" Type="http://schemas.openxmlformats.org/officeDocument/2006/relationships/hyperlink" Target="http://www.inmetro.gov.br/Sidoq/Arquivos/Cgcre/DOQ/DOQ-Cgcre-1_10.pdf" TargetMode="External"/><Relationship Id="rId36" Type="http://schemas.openxmlformats.org/officeDocument/2006/relationships/hyperlink" Target="http://www.inmetro.gov.br/credenciamento/organismos/doc_organismos.asp?tOrganismo=CalibEnsaios%20" TargetMode="Externa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abntcatalogo.com.br/norma.aspx?ID=345041" TargetMode="Externa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bntcatalogo.com.br/norma.aspx?ID=345041" TargetMode="External"/><Relationship Id="rId22" Type="http://schemas.openxmlformats.org/officeDocument/2006/relationships/hyperlink" Target="http://www.inmetro.gov.br/credenciamento/sobre_lab.asp" TargetMode="External"/><Relationship Id="rId27" Type="http://schemas.openxmlformats.org/officeDocument/2006/relationships/hyperlink" Target="http://www.abntcatalogo.com.br/norma.aspx?ID=329302" TargetMode="External"/><Relationship Id="rId30" Type="http://schemas.openxmlformats.org/officeDocument/2006/relationships/image" Target="media/image9.png"/><Relationship Id="rId35" Type="http://schemas.openxmlformats.org/officeDocument/2006/relationships/hyperlink" Target="http://www.inmetro.gov.br/laboratorios/rbc/" TargetMode="Externa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abntcatalogo.com.br/norma.aspx?ID=1582" TargetMode="External"/><Relationship Id="rId17" Type="http://schemas.openxmlformats.org/officeDocument/2006/relationships/image" Target="media/image6.png"/><Relationship Id="rId25" Type="http://schemas.openxmlformats.org/officeDocument/2006/relationships/hyperlink" Target="http://www.abntcatalogo.com.br/norma.aspx?ID=62774" TargetMode="External"/><Relationship Id="rId33" Type="http://schemas.openxmlformats.org/officeDocument/2006/relationships/hyperlink" Target="http://www.inmetro.gov.br/laboratorios/rble/" TargetMode="External"/><Relationship Id="rId38" Type="http://schemas.openxmlformats.org/officeDocument/2006/relationships/image" Target="media/image13.png"/><Relationship Id="rId46" Type="http://schemas.openxmlformats.org/officeDocument/2006/relationships/image" Target="media/image20.png"/><Relationship Id="rId20" Type="http://schemas.openxmlformats.org/officeDocument/2006/relationships/hyperlink" Target="https://www.abntcatalogo.com.br/norma.aspx?ID=345116"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24</Pages>
  <Words>5475</Words>
  <Characters>29570</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Marques Rodrigues</dc:creator>
  <cp:keywords/>
  <dc:description/>
  <cp:lastModifiedBy>Aline Marques Rodrigues</cp:lastModifiedBy>
  <cp:revision>5</cp:revision>
  <cp:lastPrinted>2020-09-22T17:10:00Z</cp:lastPrinted>
  <dcterms:created xsi:type="dcterms:W3CDTF">2020-03-20T20:30:00Z</dcterms:created>
  <dcterms:modified xsi:type="dcterms:W3CDTF">2020-09-22T17:11:00Z</dcterms:modified>
</cp:coreProperties>
</file>